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A96" w:rsidRDefault="00720A96">
      <w:pPr>
        <w:ind w:right="-273"/>
        <w:jc w:val="both"/>
        <w:rPr>
          <w:lang w:val="sr-Cyrl-CS"/>
        </w:rPr>
      </w:pPr>
      <w:r>
        <w:rPr>
          <w:lang w:val="sr-Cyrl-CS"/>
        </w:rPr>
        <w:t xml:space="preserve">                                                                                                                                                                                                                                                                                                                                                                                                                                                                                                                                                                                                                                                                                                                                                                                                                                                </w:t>
      </w:r>
      <w:r w:rsidR="00E01CC8">
        <w:rPr>
          <w:lang w:val="sr-Cyrl-CS"/>
        </w:rPr>
        <w:tab/>
      </w:r>
      <w:r w:rsidR="00E01CC8">
        <w:rPr>
          <w:lang w:val="sr-Cyrl-CS"/>
        </w:rPr>
        <w:tab/>
        <w:t>На основу члана 2</w:t>
      </w:r>
      <w:r w:rsidR="006732F1" w:rsidRPr="00EE03B9">
        <w:rPr>
          <w:lang w:val="ru-RU"/>
        </w:rPr>
        <w:t>9</w:t>
      </w:r>
      <w:r>
        <w:rPr>
          <w:lang w:val="sr-Cyrl-CS"/>
        </w:rPr>
        <w:t>. Закона о буџетско</w:t>
      </w:r>
      <w:r w:rsidR="00AD7E9B">
        <w:rPr>
          <w:lang w:val="sr-Cyrl-CS"/>
        </w:rPr>
        <w:t>м систему РС (</w:t>
      </w:r>
      <w:r>
        <w:rPr>
          <w:lang w:val="sr-Cyrl-CS"/>
        </w:rPr>
        <w:t>„С</w:t>
      </w:r>
      <w:r w:rsidR="00E01CC8">
        <w:rPr>
          <w:lang w:val="sr-Cyrl-CS"/>
        </w:rPr>
        <w:t xml:space="preserve">лужбени гласник РС“, број: </w:t>
      </w:r>
      <w:r w:rsidR="00E01CC8">
        <w:rPr>
          <w:lang w:val="sr-Latn-BA"/>
        </w:rPr>
        <w:t>121/12</w:t>
      </w:r>
      <w:r>
        <w:rPr>
          <w:lang w:val="sr-Cyrl-CS"/>
        </w:rPr>
        <w:t>,</w:t>
      </w:r>
      <w:r w:rsidR="00AD7E9B">
        <w:rPr>
          <w:lang w:val="sr-Cyrl-CS"/>
        </w:rPr>
        <w:t>52/14,103/15 и 15/16)</w:t>
      </w:r>
      <w:r>
        <w:rPr>
          <w:lang w:val="sr-Cyrl-CS"/>
        </w:rPr>
        <w:t xml:space="preserve"> Документа </w:t>
      </w:r>
      <w:r w:rsidR="000A6F24">
        <w:rPr>
          <w:lang w:val="sr-Cyrl-CS"/>
        </w:rPr>
        <w:t>о</w:t>
      </w:r>
      <w:r w:rsidR="00B64D86">
        <w:rPr>
          <w:lang w:val="sr-Cyrl-CS"/>
        </w:rPr>
        <w:t>квирног буџета РС за период 202</w:t>
      </w:r>
      <w:r w:rsidR="00274D11">
        <w:rPr>
          <w:lang w:val="sr-Latn-BA"/>
        </w:rPr>
        <w:t>3</w:t>
      </w:r>
      <w:r w:rsidR="00B64D86">
        <w:rPr>
          <w:lang w:val="sr-Cyrl-CS"/>
        </w:rPr>
        <w:t xml:space="preserve"> – 202</w:t>
      </w:r>
      <w:r w:rsidR="00274D11">
        <w:rPr>
          <w:lang w:val="sr-Latn-BA"/>
        </w:rPr>
        <w:t>5</w:t>
      </w:r>
      <w:r>
        <w:rPr>
          <w:lang w:val="sr-Cyrl-CS"/>
        </w:rPr>
        <w:t xml:space="preserve">. године и процјене основних економских </w:t>
      </w:r>
      <w:r w:rsidR="000A6F24">
        <w:rPr>
          <w:lang w:val="sr-Cyrl-CS"/>
        </w:rPr>
        <w:t>п</w:t>
      </w:r>
      <w:r w:rsidR="00B64D86">
        <w:rPr>
          <w:lang w:val="sr-Cyrl-CS"/>
        </w:rPr>
        <w:t>оказатеља општине Лопаре за 202</w:t>
      </w:r>
      <w:r w:rsidR="00274D11">
        <w:rPr>
          <w:lang w:val="sr-Latn-BA"/>
        </w:rPr>
        <w:t>3</w:t>
      </w:r>
      <w:r>
        <w:rPr>
          <w:lang w:val="sr-Cyrl-CS"/>
        </w:rPr>
        <w:t>. годину, Одјељење за фина</w:t>
      </w:r>
      <w:r w:rsidR="00655239">
        <w:rPr>
          <w:lang w:val="sr-Cyrl-CS"/>
        </w:rPr>
        <w:t xml:space="preserve">нсије Општинске </w:t>
      </w:r>
      <w:r w:rsidR="00655239" w:rsidRPr="00EE03B9">
        <w:rPr>
          <w:lang w:val="ru-RU"/>
        </w:rPr>
        <w:t>управе</w:t>
      </w:r>
      <w:r w:rsidR="00E01CC8">
        <w:rPr>
          <w:lang w:val="sr-Cyrl-CS"/>
        </w:rPr>
        <w:t xml:space="preserve"> Лопаре, дана </w:t>
      </w:r>
      <w:r w:rsidR="00274D11">
        <w:rPr>
          <w:lang w:val="sr-Latn-BA"/>
        </w:rPr>
        <w:t>05</w:t>
      </w:r>
      <w:r w:rsidR="00F00F46">
        <w:rPr>
          <w:lang w:val="sr-Cyrl-CS"/>
        </w:rPr>
        <w:t>.0</w:t>
      </w:r>
      <w:r w:rsidR="008D5A92" w:rsidRPr="00EE03B9">
        <w:rPr>
          <w:lang w:val="ru-RU"/>
        </w:rPr>
        <w:t>8</w:t>
      </w:r>
      <w:r>
        <w:rPr>
          <w:lang w:val="sr-Cyrl-CS"/>
        </w:rPr>
        <w:t>.20</w:t>
      </w:r>
      <w:r w:rsidR="00B64D86">
        <w:rPr>
          <w:lang w:val="sr-Cyrl-BA"/>
        </w:rPr>
        <w:t>2</w:t>
      </w:r>
      <w:r w:rsidR="00274D11">
        <w:rPr>
          <w:lang w:val="sr-Latn-BA"/>
        </w:rPr>
        <w:t>2</w:t>
      </w:r>
      <w:r>
        <w:rPr>
          <w:lang w:val="sr-Cyrl-CS"/>
        </w:rPr>
        <w:t>. године, издаје буџетским корисницима општине Лопаре,</w:t>
      </w:r>
    </w:p>
    <w:p w:rsidR="00720A96" w:rsidRDefault="00720A96">
      <w:pPr>
        <w:jc w:val="both"/>
        <w:rPr>
          <w:lang w:val="sr-Cyrl-CS"/>
        </w:rPr>
      </w:pPr>
    </w:p>
    <w:p w:rsidR="00720A96" w:rsidRDefault="00720A96">
      <w:pPr>
        <w:jc w:val="both"/>
        <w:rPr>
          <w:lang w:val="sr-Cyrl-CS"/>
        </w:rPr>
      </w:pPr>
    </w:p>
    <w:p w:rsidR="00720A96" w:rsidRDefault="00720A96">
      <w:pPr>
        <w:jc w:val="center"/>
        <w:rPr>
          <w:b/>
          <w:lang w:val="sr-Cyrl-CS"/>
        </w:rPr>
      </w:pPr>
      <w:r>
        <w:rPr>
          <w:b/>
          <w:lang w:val="sr-Cyrl-CS"/>
        </w:rPr>
        <w:t>У П У Т С Т В О</w:t>
      </w:r>
    </w:p>
    <w:p w:rsidR="00720A96" w:rsidRDefault="00720A96">
      <w:pPr>
        <w:jc w:val="center"/>
        <w:rPr>
          <w:b/>
          <w:lang w:val="sr-Cyrl-CS"/>
        </w:rPr>
      </w:pPr>
      <w:r>
        <w:rPr>
          <w:b/>
          <w:lang w:val="sr-Cyrl-CS"/>
        </w:rPr>
        <w:t xml:space="preserve">за припрему Буџета општине Лопаре </w:t>
      </w:r>
    </w:p>
    <w:p w:rsidR="00720A96" w:rsidRDefault="00B64D86">
      <w:pPr>
        <w:jc w:val="center"/>
        <w:rPr>
          <w:b/>
          <w:lang w:val="sr-Cyrl-CS"/>
        </w:rPr>
      </w:pPr>
      <w:r>
        <w:rPr>
          <w:b/>
          <w:lang w:val="sr-Cyrl-CS"/>
        </w:rPr>
        <w:t>за 202</w:t>
      </w:r>
      <w:r w:rsidR="00274D11">
        <w:rPr>
          <w:b/>
          <w:lang w:val="sr-Latn-BA"/>
        </w:rPr>
        <w:t>3</w:t>
      </w:r>
      <w:r w:rsidR="00720A96">
        <w:rPr>
          <w:b/>
          <w:lang w:val="sr-Cyrl-CS"/>
        </w:rPr>
        <w:t xml:space="preserve"> . годину</w:t>
      </w:r>
    </w:p>
    <w:p w:rsidR="00720A96" w:rsidRPr="00EE03B9" w:rsidRDefault="00720A96">
      <w:pPr>
        <w:jc w:val="both"/>
        <w:rPr>
          <w:lang w:val="ru-RU"/>
        </w:rPr>
      </w:pPr>
    </w:p>
    <w:p w:rsidR="00720A96" w:rsidRPr="00F07EF4" w:rsidRDefault="00720A96">
      <w:pPr>
        <w:jc w:val="both"/>
        <w:rPr>
          <w:lang w:val="sr-Latn-BA"/>
        </w:rPr>
      </w:pPr>
      <w:r>
        <w:rPr>
          <w:lang w:val="hr-HR"/>
        </w:rPr>
        <w:tab/>
      </w:r>
      <w:r>
        <w:rPr>
          <w:lang w:val="hr-HR"/>
        </w:rPr>
        <w:tab/>
        <w:t>Овим Упутством у складу са Законом о буџетском систему Р</w:t>
      </w:r>
      <w:r>
        <w:rPr>
          <w:lang w:val="sr-Cyrl-BA"/>
        </w:rPr>
        <w:t>С, Документом оквирног</w:t>
      </w:r>
      <w:r w:rsidR="00B64D86">
        <w:rPr>
          <w:lang w:val="sr-Cyrl-BA"/>
        </w:rPr>
        <w:t xml:space="preserve"> Буџета РС за период 202</w:t>
      </w:r>
      <w:r w:rsidR="00274D11">
        <w:rPr>
          <w:lang w:val="sr-Latn-BA"/>
        </w:rPr>
        <w:t>3</w:t>
      </w:r>
      <w:r w:rsidR="00B64D86">
        <w:rPr>
          <w:lang w:val="sr-Cyrl-BA"/>
        </w:rPr>
        <w:t>. – 202</w:t>
      </w:r>
      <w:r w:rsidR="00274D11">
        <w:rPr>
          <w:lang w:val="sr-Latn-BA"/>
        </w:rPr>
        <w:t>5</w:t>
      </w:r>
      <w:r>
        <w:rPr>
          <w:lang w:val="sr-Cyrl-BA"/>
        </w:rPr>
        <w:t>. године и процјеном осно</w:t>
      </w:r>
      <w:r w:rsidR="000A6F24">
        <w:rPr>
          <w:lang w:val="sr-Cyrl-BA"/>
        </w:rPr>
        <w:t>в</w:t>
      </w:r>
      <w:r w:rsidR="00B64D86">
        <w:rPr>
          <w:lang w:val="sr-Cyrl-BA"/>
        </w:rPr>
        <w:t>них економских категорија у 202</w:t>
      </w:r>
      <w:r w:rsidR="00274D11">
        <w:rPr>
          <w:lang w:val="sr-Latn-BA"/>
        </w:rPr>
        <w:t>2</w:t>
      </w:r>
      <w:r>
        <w:rPr>
          <w:lang w:val="sr-Cyrl-BA"/>
        </w:rPr>
        <w:t xml:space="preserve">. години, буџетским корисницима општине Лопаре дају се основне инструкције и оквири за припрему програма и захтјева за </w:t>
      </w:r>
      <w:r w:rsidR="000A6F24">
        <w:rPr>
          <w:lang w:val="sr-Cyrl-BA"/>
        </w:rPr>
        <w:t>с</w:t>
      </w:r>
      <w:r w:rsidR="00B64D86">
        <w:rPr>
          <w:lang w:val="sr-Cyrl-BA"/>
        </w:rPr>
        <w:t>редства у буџету Општине за 202</w:t>
      </w:r>
      <w:r w:rsidR="00274D11">
        <w:rPr>
          <w:lang w:val="sr-Latn-BA"/>
        </w:rPr>
        <w:t>3</w:t>
      </w:r>
      <w:r>
        <w:rPr>
          <w:lang w:val="sr-Cyrl-BA"/>
        </w:rPr>
        <w:t>. годину.</w:t>
      </w:r>
      <w:r w:rsidR="006876AD">
        <w:rPr>
          <w:lang w:val="sr-Cyrl-BA"/>
        </w:rPr>
        <w:t xml:space="preserve"> Законом о фискалној одговорности Републике Српске („Службени гласник Републике Српске“, број 94/15</w:t>
      </w:r>
      <w:r w:rsidR="00DD2E7A">
        <w:rPr>
          <w:lang w:val="sr-Cyrl-BA"/>
        </w:rPr>
        <w:t xml:space="preserve"> </w:t>
      </w:r>
      <w:r w:rsidR="00DD2E7A">
        <w:rPr>
          <w:lang w:val="sr-Cyrl-BA"/>
        </w:rPr>
        <w:tab/>
        <w:t xml:space="preserve">и </w:t>
      </w:r>
      <w:r w:rsidR="005D3944">
        <w:rPr>
          <w:lang w:val="sr-Latn-BA"/>
        </w:rPr>
        <w:t>62/18</w:t>
      </w:r>
      <w:r w:rsidR="006876AD">
        <w:rPr>
          <w:lang w:val="sr-Cyrl-BA"/>
        </w:rPr>
        <w:t>) уређује се фискална правила ,мјере и процедуре на основу којих се јача ефикасно и ефективно коришћење буџетских  и успоставља систем контроле и надзора.</w:t>
      </w:r>
    </w:p>
    <w:p w:rsidR="00720A96" w:rsidRDefault="00720A96">
      <w:pPr>
        <w:jc w:val="center"/>
        <w:rPr>
          <w:b/>
          <w:lang w:val="sr-Latn-CS"/>
        </w:rPr>
      </w:pPr>
      <w:r>
        <w:rPr>
          <w:b/>
          <w:lang w:val="hr-HR"/>
        </w:rPr>
        <w:br/>
      </w:r>
      <w:r>
        <w:rPr>
          <w:b/>
          <w:lang w:val="sr-Latn-CS"/>
        </w:rPr>
        <w:t>I</w:t>
      </w:r>
    </w:p>
    <w:p w:rsidR="00720A96" w:rsidRDefault="00720A96">
      <w:pPr>
        <w:jc w:val="both"/>
        <w:rPr>
          <w:b/>
          <w:lang w:val="hr-HR"/>
        </w:rPr>
      </w:pPr>
    </w:p>
    <w:p w:rsidR="00720A96" w:rsidRDefault="00720A96" w:rsidP="00655239">
      <w:pPr>
        <w:jc w:val="center"/>
        <w:rPr>
          <w:b/>
          <w:lang w:val="sr-Cyrl-CS"/>
        </w:rPr>
      </w:pPr>
      <w:r>
        <w:rPr>
          <w:b/>
          <w:lang w:val="sr-Cyrl-CS"/>
        </w:rPr>
        <w:t>Основна економска усмјерења</w:t>
      </w:r>
      <w:r>
        <w:rPr>
          <w:b/>
          <w:lang w:val="hr-HR"/>
        </w:rPr>
        <w:t xml:space="preserve">, </w:t>
      </w:r>
      <w:r>
        <w:rPr>
          <w:b/>
          <w:lang w:val="sr-Cyrl-CS"/>
        </w:rPr>
        <w:t>везана за политике које су обезбијеђене кроз припрему развојних докумената</w:t>
      </w:r>
    </w:p>
    <w:p w:rsidR="00720A96" w:rsidRDefault="00720A96">
      <w:pPr>
        <w:jc w:val="both"/>
        <w:rPr>
          <w:lang w:val="hr-HR"/>
        </w:rPr>
      </w:pPr>
    </w:p>
    <w:p w:rsidR="00720A96" w:rsidRDefault="00720A96">
      <w:pPr>
        <w:jc w:val="both"/>
        <w:rPr>
          <w:lang w:val="hr-HR"/>
        </w:rPr>
      </w:pPr>
      <w:r>
        <w:rPr>
          <w:lang w:val="hr-HR"/>
        </w:rPr>
        <w:tab/>
      </w:r>
      <w:r>
        <w:rPr>
          <w:lang w:val="hr-HR"/>
        </w:rPr>
        <w:tab/>
        <w:t xml:space="preserve">Документ </w:t>
      </w:r>
      <w:r w:rsidR="005D3944">
        <w:rPr>
          <w:lang w:val="hr-HR"/>
        </w:rPr>
        <w:t>о</w:t>
      </w:r>
      <w:r w:rsidR="00274D11">
        <w:rPr>
          <w:lang w:val="hr-HR"/>
        </w:rPr>
        <w:t>квирног буџета РС за период 2023</w:t>
      </w:r>
      <w:r w:rsidR="00BF2843">
        <w:rPr>
          <w:lang w:val="hr-HR"/>
        </w:rPr>
        <w:t>. – 20</w:t>
      </w:r>
      <w:r w:rsidR="005D3944" w:rsidRPr="00EE03B9">
        <w:rPr>
          <w:lang w:val="ru-RU"/>
        </w:rPr>
        <w:t>2</w:t>
      </w:r>
      <w:r w:rsidR="00274D11">
        <w:rPr>
          <w:lang w:val="sr-Latn-BA"/>
        </w:rPr>
        <w:t>5</w:t>
      </w:r>
      <w:r>
        <w:rPr>
          <w:lang w:val="hr-HR"/>
        </w:rPr>
        <w:t>. године, кога је припремило Министарство финансија, даје стратешки оквир и горње границе ресурса унутар којих ће се припремати годишњи буџет.</w:t>
      </w:r>
    </w:p>
    <w:p w:rsidR="00720A96" w:rsidRDefault="00720A96">
      <w:pPr>
        <w:jc w:val="both"/>
        <w:rPr>
          <w:lang w:val="hr-HR"/>
        </w:rPr>
      </w:pPr>
      <w:r>
        <w:rPr>
          <w:lang w:val="hr-HR"/>
        </w:rPr>
        <w:tab/>
      </w:r>
      <w:r>
        <w:rPr>
          <w:lang w:val="hr-HR"/>
        </w:rPr>
        <w:tab/>
        <w:t>Документ оквирног буџета чине сљедећа поглавља:</w:t>
      </w:r>
    </w:p>
    <w:p w:rsidR="00720A96" w:rsidRDefault="00720A96">
      <w:pPr>
        <w:jc w:val="both"/>
        <w:rPr>
          <w:lang w:val="hr-HR"/>
        </w:rPr>
      </w:pPr>
    </w:p>
    <w:p w:rsidR="00720A96" w:rsidRPr="00EE03B9" w:rsidRDefault="00720A96">
      <w:pPr>
        <w:jc w:val="both"/>
        <w:rPr>
          <w:lang w:val="ru-RU"/>
        </w:rPr>
      </w:pPr>
      <w:r>
        <w:rPr>
          <w:lang w:val="hr-HR"/>
        </w:rPr>
        <w:tab/>
      </w:r>
      <w:r>
        <w:rPr>
          <w:lang w:val="hr-HR"/>
        </w:rPr>
        <w:tab/>
        <w:t xml:space="preserve">1. </w:t>
      </w:r>
      <w:r w:rsidR="00F07EF4">
        <w:rPr>
          <w:lang w:val="sr-Latn-BA"/>
        </w:rPr>
        <w:t>Економски и фискални циљеви,</w:t>
      </w:r>
    </w:p>
    <w:p w:rsidR="00720A96" w:rsidRPr="00EE03B9" w:rsidRDefault="00720A96">
      <w:pPr>
        <w:jc w:val="both"/>
        <w:rPr>
          <w:lang w:val="ru-RU"/>
        </w:rPr>
      </w:pPr>
      <w:r>
        <w:rPr>
          <w:lang w:val="hr-HR"/>
        </w:rPr>
        <w:tab/>
      </w:r>
      <w:r>
        <w:rPr>
          <w:lang w:val="hr-HR"/>
        </w:rPr>
        <w:tab/>
        <w:t xml:space="preserve">2. </w:t>
      </w:r>
      <w:r w:rsidR="00F07EF4">
        <w:rPr>
          <w:lang w:val="sr-Cyrl-CS"/>
        </w:rPr>
        <w:t>Макроекономски оквир,</w:t>
      </w:r>
    </w:p>
    <w:p w:rsidR="00720A96" w:rsidRPr="00EE03B9" w:rsidRDefault="00720A96">
      <w:pPr>
        <w:jc w:val="both"/>
        <w:rPr>
          <w:lang w:val="ru-RU"/>
        </w:rPr>
      </w:pPr>
      <w:r>
        <w:rPr>
          <w:lang w:val="hr-HR"/>
        </w:rPr>
        <w:tab/>
      </w:r>
      <w:r>
        <w:rPr>
          <w:lang w:val="hr-HR"/>
        </w:rPr>
        <w:tab/>
        <w:t xml:space="preserve">3. </w:t>
      </w:r>
      <w:r w:rsidR="00F07EF4">
        <w:rPr>
          <w:lang w:val="sr-Cyrl-CS"/>
        </w:rPr>
        <w:t>Јавне финансије,</w:t>
      </w:r>
    </w:p>
    <w:p w:rsidR="00720A96" w:rsidRPr="00EE03B9" w:rsidRDefault="00720A96">
      <w:pPr>
        <w:jc w:val="both"/>
        <w:rPr>
          <w:lang w:val="ru-RU"/>
        </w:rPr>
      </w:pPr>
      <w:r>
        <w:rPr>
          <w:lang w:val="hr-HR"/>
        </w:rPr>
        <w:tab/>
      </w:r>
      <w:r>
        <w:rPr>
          <w:lang w:val="hr-HR"/>
        </w:rPr>
        <w:tab/>
        <w:t xml:space="preserve">4. </w:t>
      </w:r>
      <w:r w:rsidR="00F07EF4">
        <w:rPr>
          <w:lang w:val="sr-Cyrl-CS"/>
        </w:rPr>
        <w:t>Преглед консолидованих оквира буџета општина.</w:t>
      </w:r>
    </w:p>
    <w:p w:rsidR="00C5067B" w:rsidRDefault="00720A96" w:rsidP="00F07EF4">
      <w:pPr>
        <w:jc w:val="both"/>
        <w:rPr>
          <w:lang w:val="hr-HR"/>
        </w:rPr>
      </w:pPr>
      <w:r>
        <w:rPr>
          <w:lang w:val="hr-HR"/>
        </w:rPr>
        <w:tab/>
      </w:r>
      <w:r>
        <w:rPr>
          <w:lang w:val="hr-HR"/>
        </w:rPr>
        <w:tab/>
      </w:r>
    </w:p>
    <w:p w:rsidR="00720A96" w:rsidRPr="00C5067B" w:rsidRDefault="00720A96" w:rsidP="00C5067B">
      <w:pPr>
        <w:ind w:firstLine="720"/>
        <w:jc w:val="both"/>
        <w:rPr>
          <w:lang w:val="hr-HR"/>
        </w:rPr>
      </w:pPr>
      <w:r>
        <w:rPr>
          <w:lang w:val="hr-HR"/>
        </w:rPr>
        <w:t xml:space="preserve"> </w:t>
      </w:r>
      <w:r>
        <w:rPr>
          <w:lang w:val="sr-Cyrl-CS"/>
        </w:rPr>
        <w:t xml:space="preserve">Кључни циљ </w:t>
      </w:r>
      <w:r>
        <w:rPr>
          <w:lang w:val="hr-HR"/>
        </w:rPr>
        <w:t>Документ</w:t>
      </w:r>
      <w:r>
        <w:rPr>
          <w:lang w:val="sr-Cyrl-CS"/>
        </w:rPr>
        <w:t xml:space="preserve">а </w:t>
      </w:r>
      <w:r>
        <w:rPr>
          <w:lang w:val="hr-HR"/>
        </w:rPr>
        <w:t xml:space="preserve"> </w:t>
      </w:r>
      <w:r w:rsidR="00282DD0">
        <w:rPr>
          <w:lang w:val="hr-HR"/>
        </w:rPr>
        <w:t>о</w:t>
      </w:r>
      <w:r w:rsidR="00274D11">
        <w:rPr>
          <w:lang w:val="hr-HR"/>
        </w:rPr>
        <w:t>квирног буџета РС за период 2023</w:t>
      </w:r>
      <w:r w:rsidR="00BF2843">
        <w:rPr>
          <w:lang w:val="hr-HR"/>
        </w:rPr>
        <w:t>.–20</w:t>
      </w:r>
      <w:r w:rsidR="00282DD0" w:rsidRPr="00EE03B9">
        <w:rPr>
          <w:lang w:val="ru-RU"/>
        </w:rPr>
        <w:t>2</w:t>
      </w:r>
      <w:r w:rsidR="00274D11">
        <w:rPr>
          <w:lang w:val="sr-Latn-BA"/>
        </w:rPr>
        <w:t>5</w:t>
      </w:r>
      <w:r>
        <w:rPr>
          <w:lang w:val="hr-HR"/>
        </w:rPr>
        <w:t xml:space="preserve">. године </w:t>
      </w:r>
      <w:r>
        <w:rPr>
          <w:lang w:val="sr-Cyrl-CS"/>
        </w:rPr>
        <w:t>је да осигура бољу повезаност између приоритетних политика Владе и начина на које она алоцира јавне ресурсе.</w:t>
      </w:r>
    </w:p>
    <w:p w:rsidR="00720A96" w:rsidRDefault="00720A96" w:rsidP="00C5067B">
      <w:pPr>
        <w:jc w:val="both"/>
        <w:rPr>
          <w:lang w:val="sr-Cyrl-CS"/>
        </w:rPr>
      </w:pPr>
      <w:r>
        <w:rPr>
          <w:lang w:val="sr-Cyrl-CS"/>
        </w:rPr>
        <w:t xml:space="preserve">           </w:t>
      </w:r>
      <w:r w:rsidR="00C5067B">
        <w:rPr>
          <w:lang w:val="sr-Cyrl-CS"/>
        </w:rPr>
        <w:t xml:space="preserve"> </w:t>
      </w:r>
      <w:r>
        <w:rPr>
          <w:lang w:val="sr-Cyrl-CS"/>
        </w:rPr>
        <w:t xml:space="preserve">На основу кретања макроекономских показатеља РС у </w:t>
      </w:r>
    </w:p>
    <w:p w:rsidR="00720A96" w:rsidRDefault="00720A96" w:rsidP="00C5067B">
      <w:pPr>
        <w:jc w:val="both"/>
        <w:rPr>
          <w:lang w:val="sr-Cyrl-CS"/>
        </w:rPr>
      </w:pPr>
      <w:r>
        <w:rPr>
          <w:lang w:val="sr-Cyrl-CS"/>
        </w:rPr>
        <w:t xml:space="preserve">претходном </w:t>
      </w:r>
      <w:r w:rsidR="006B140D">
        <w:rPr>
          <w:lang w:val="sr-Cyrl-CS"/>
        </w:rPr>
        <w:t>периоду и првих пет</w:t>
      </w:r>
      <w:r w:rsidR="00B1223C">
        <w:rPr>
          <w:lang w:val="sr-Cyrl-CS"/>
        </w:rPr>
        <w:t xml:space="preserve"> мјесеци 20</w:t>
      </w:r>
      <w:r w:rsidR="00274D11">
        <w:rPr>
          <w:lang w:val="sr-Latn-BA"/>
        </w:rPr>
        <w:t>22</w:t>
      </w:r>
      <w:r w:rsidR="006B140D">
        <w:rPr>
          <w:lang w:val="sr-Latn-BA"/>
        </w:rPr>
        <w:t>.</w:t>
      </w:r>
      <w:r>
        <w:rPr>
          <w:lang w:val="sr-Cyrl-CS"/>
        </w:rPr>
        <w:t xml:space="preserve"> године, кретања привредних активности у РС и у земљама окружења, препорукама међународних финансијских институција и започетим и планираним</w:t>
      </w:r>
    </w:p>
    <w:p w:rsidR="00720A96" w:rsidRPr="00B64D86" w:rsidRDefault="00720A96" w:rsidP="00C5067B">
      <w:pPr>
        <w:jc w:val="both"/>
        <w:rPr>
          <w:lang w:val="ru-RU"/>
        </w:rPr>
      </w:pPr>
    </w:p>
    <w:p w:rsidR="00720A96" w:rsidRPr="00C5067B" w:rsidRDefault="00720A96" w:rsidP="00C5067B">
      <w:pPr>
        <w:jc w:val="both"/>
        <w:rPr>
          <w:lang w:val="sr-Latn-BA"/>
        </w:rPr>
      </w:pPr>
      <w:r>
        <w:rPr>
          <w:lang w:val="sr-Cyrl-CS"/>
        </w:rPr>
        <w:t xml:space="preserve">                          </w:t>
      </w:r>
      <w:r w:rsidR="00C5067B">
        <w:rPr>
          <w:lang w:val="sr-Cyrl-CS"/>
        </w:rPr>
        <w:t xml:space="preserve">                            </w:t>
      </w:r>
    </w:p>
    <w:p w:rsidR="00720A96" w:rsidRDefault="00720A96">
      <w:pPr>
        <w:jc w:val="both"/>
        <w:rPr>
          <w:lang w:val="sr-Cyrl-CS"/>
        </w:rPr>
      </w:pPr>
      <w:r>
        <w:rPr>
          <w:lang w:val="sr-Cyrl-CS"/>
        </w:rPr>
        <w:lastRenderedPageBreak/>
        <w:t>политикама Владе РС , извршене су процјене и пројекције кретања макроеконом</w:t>
      </w:r>
      <w:r w:rsidR="00B1223C">
        <w:rPr>
          <w:lang w:val="sr-Cyrl-CS"/>
        </w:rPr>
        <w:t>ских показатеља РС за период 20</w:t>
      </w:r>
      <w:r w:rsidR="00274D11">
        <w:rPr>
          <w:lang w:val="sr-Latn-BA"/>
        </w:rPr>
        <w:t>23</w:t>
      </w:r>
      <w:r w:rsidR="00AE64B8">
        <w:rPr>
          <w:lang w:val="sr-Cyrl-CS"/>
        </w:rPr>
        <w:t>-202</w:t>
      </w:r>
      <w:r w:rsidR="00274D11">
        <w:rPr>
          <w:lang w:val="sr-Latn-BA"/>
        </w:rPr>
        <w:t>5</w:t>
      </w:r>
      <w:r>
        <w:rPr>
          <w:lang w:val="sr-Cyrl-CS"/>
        </w:rPr>
        <w:t xml:space="preserve"> године.                          </w:t>
      </w:r>
    </w:p>
    <w:p w:rsidR="00720A96" w:rsidRDefault="00720A96">
      <w:pPr>
        <w:jc w:val="both"/>
        <w:rPr>
          <w:lang w:val="sr-Cyrl-CS"/>
        </w:rPr>
      </w:pPr>
      <w:r>
        <w:rPr>
          <w:lang w:val="sr-Cyrl-CS"/>
        </w:rPr>
        <w:t xml:space="preserve">             </w:t>
      </w:r>
    </w:p>
    <w:p w:rsidR="00720A96" w:rsidRPr="00F55E05" w:rsidRDefault="00720A96">
      <w:pPr>
        <w:jc w:val="both"/>
        <w:rPr>
          <w:i/>
          <w:lang w:val="sr-Cyrl-CS"/>
        </w:rPr>
      </w:pPr>
      <w:r>
        <w:rPr>
          <w:lang w:val="sr-Cyrl-CS"/>
        </w:rPr>
        <w:tab/>
      </w:r>
      <w:r w:rsidRPr="00F55E05">
        <w:rPr>
          <w:i/>
          <w:lang w:val="sr-Cyrl-CS"/>
        </w:rPr>
        <w:t>Табела 1.</w:t>
      </w:r>
    </w:p>
    <w:p w:rsidR="00720A96" w:rsidRDefault="00720A96">
      <w:pPr>
        <w:jc w:val="both"/>
        <w:rPr>
          <w:lang w:val="sr-Cyrl-CS"/>
        </w:rPr>
      </w:pPr>
    </w:p>
    <w:p w:rsidR="00720A96" w:rsidRDefault="00720A96">
      <w:pPr>
        <w:jc w:val="both"/>
        <w:rPr>
          <w:b/>
          <w:u w:val="single"/>
          <w:lang w:val="sr-Cyrl-CS"/>
        </w:rPr>
      </w:pPr>
      <w:r>
        <w:rPr>
          <w:b/>
          <w:lang w:val="sr-Cyrl-CS"/>
        </w:rPr>
        <w:tab/>
      </w:r>
      <w:r w:rsidR="002202E3">
        <w:rPr>
          <w:b/>
          <w:u w:val="single"/>
          <w:lang w:val="sr-Cyrl-CS"/>
        </w:rPr>
        <w:t>Преглед</w:t>
      </w:r>
      <w:r>
        <w:rPr>
          <w:b/>
          <w:u w:val="single"/>
          <w:lang w:val="sr-Cyrl-CS"/>
        </w:rPr>
        <w:t xml:space="preserve">  ма</w:t>
      </w:r>
      <w:r w:rsidR="00975931">
        <w:rPr>
          <w:b/>
          <w:u w:val="single"/>
          <w:lang w:val="sr-Cyrl-CS"/>
        </w:rPr>
        <w:t>кроекономских показатеља за 20</w:t>
      </w:r>
      <w:r w:rsidR="001E5E6D">
        <w:rPr>
          <w:b/>
          <w:u w:val="single"/>
          <w:lang w:val="sr-Latn-BA"/>
        </w:rPr>
        <w:t>21</w:t>
      </w:r>
      <w:r w:rsidR="00826B5D">
        <w:rPr>
          <w:b/>
          <w:u w:val="single"/>
          <w:lang w:val="sr-Cyrl-CS"/>
        </w:rPr>
        <w:t xml:space="preserve"> годину ,процјена за </w:t>
      </w:r>
      <w:r w:rsidR="00975931">
        <w:rPr>
          <w:b/>
          <w:u w:val="single"/>
          <w:lang w:val="sr-Cyrl-CS"/>
        </w:rPr>
        <w:t>20</w:t>
      </w:r>
      <w:r w:rsidR="001E5E6D">
        <w:rPr>
          <w:b/>
          <w:u w:val="single"/>
          <w:lang w:val="sr-Latn-BA"/>
        </w:rPr>
        <w:t>22</w:t>
      </w:r>
      <w:r>
        <w:rPr>
          <w:b/>
          <w:u w:val="single"/>
          <w:lang w:val="sr-Cyrl-CS"/>
        </w:rPr>
        <w:t xml:space="preserve">   го</w:t>
      </w:r>
      <w:r w:rsidR="00975931">
        <w:rPr>
          <w:b/>
          <w:u w:val="single"/>
          <w:lang w:val="sr-Cyrl-CS"/>
        </w:rPr>
        <w:t>дину и пројекције за период 20</w:t>
      </w:r>
      <w:r w:rsidR="001E5E6D">
        <w:rPr>
          <w:b/>
          <w:u w:val="single"/>
          <w:lang w:val="sr-Latn-BA"/>
        </w:rPr>
        <w:t>23</w:t>
      </w:r>
      <w:r>
        <w:rPr>
          <w:b/>
          <w:u w:val="single"/>
          <w:lang w:val="sr-Cyrl-CS"/>
        </w:rPr>
        <w:t>-20</w:t>
      </w:r>
      <w:r w:rsidR="00975931">
        <w:rPr>
          <w:b/>
          <w:u w:val="single"/>
          <w:lang w:val="sr-Cyrl-CS"/>
        </w:rPr>
        <w:t>2</w:t>
      </w:r>
      <w:r w:rsidR="001E5E6D">
        <w:rPr>
          <w:b/>
          <w:u w:val="single"/>
          <w:lang w:val="sr-Latn-BA"/>
        </w:rPr>
        <w:t>5</w:t>
      </w:r>
      <w:r>
        <w:rPr>
          <w:b/>
          <w:u w:val="single"/>
          <w:lang w:val="sr-Cyrl-CS"/>
        </w:rPr>
        <w:t xml:space="preserve"> године</w:t>
      </w:r>
    </w:p>
    <w:p w:rsidR="00720A96" w:rsidRDefault="00720A96">
      <w:pPr>
        <w:jc w:val="both"/>
        <w:rPr>
          <w:b/>
          <w:u w:val="single"/>
          <w:lang w:val="sr-Cyrl-C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0"/>
      </w:tblGrid>
      <w:tr w:rsidR="00CF4A1F" w:rsidRPr="00CF4A1F" w:rsidTr="00E90AED">
        <w:tc>
          <w:tcPr>
            <w:tcW w:w="9322" w:type="dxa"/>
          </w:tcPr>
          <w:tbl>
            <w:tblPr>
              <w:tblW w:w="9239" w:type="dxa"/>
              <w:tblLook w:val="0000"/>
            </w:tblPr>
            <w:tblGrid>
              <w:gridCol w:w="3170"/>
              <w:gridCol w:w="1078"/>
              <w:gridCol w:w="1078"/>
              <w:gridCol w:w="1078"/>
              <w:gridCol w:w="850"/>
              <w:gridCol w:w="851"/>
              <w:gridCol w:w="1134"/>
            </w:tblGrid>
            <w:tr w:rsidR="00D14979" w:rsidRPr="00CF4A1F" w:rsidTr="00D14979">
              <w:tc>
                <w:tcPr>
                  <w:tcW w:w="3170" w:type="dxa"/>
                  <w:tcBorders>
                    <w:top w:val="single" w:sz="4" w:space="0" w:color="000000"/>
                    <w:left w:val="single" w:sz="4" w:space="0" w:color="000000"/>
                    <w:bottom w:val="single" w:sz="4" w:space="0" w:color="000000"/>
                  </w:tcBorders>
                  <w:shd w:val="clear" w:color="auto" w:fill="auto"/>
                </w:tcPr>
                <w:p w:rsidR="00D14979" w:rsidRPr="00CF4A1F" w:rsidRDefault="00D14979" w:rsidP="00A711F6">
                  <w:pPr>
                    <w:snapToGrid w:val="0"/>
                    <w:jc w:val="center"/>
                    <w:rPr>
                      <w:b/>
                      <w:sz w:val="20"/>
                      <w:szCs w:val="20"/>
                      <w:lang w:val="sr-Cyrl-CS"/>
                    </w:rPr>
                  </w:pPr>
                  <w:r w:rsidRPr="00CF4A1F">
                    <w:rPr>
                      <w:b/>
                      <w:sz w:val="20"/>
                      <w:szCs w:val="20"/>
                      <w:lang w:val="sr-Cyrl-CS"/>
                    </w:rPr>
                    <w:t>Показатељ</w:t>
                  </w:r>
                </w:p>
              </w:tc>
              <w:tc>
                <w:tcPr>
                  <w:tcW w:w="1078" w:type="dxa"/>
                  <w:tcBorders>
                    <w:top w:val="single" w:sz="4" w:space="0" w:color="000000"/>
                    <w:left w:val="single" w:sz="4" w:space="0" w:color="000000"/>
                    <w:bottom w:val="single" w:sz="4" w:space="0" w:color="000000"/>
                  </w:tcBorders>
                </w:tcPr>
                <w:p w:rsidR="00D14979" w:rsidRPr="00E90AED" w:rsidRDefault="00D14979" w:rsidP="00B64D86">
                  <w:pPr>
                    <w:rPr>
                      <w:b/>
                      <w:sz w:val="20"/>
                      <w:szCs w:val="20"/>
                    </w:rPr>
                  </w:pPr>
                  <w:r w:rsidRPr="00E90AED">
                    <w:rPr>
                      <w:b/>
                      <w:sz w:val="20"/>
                      <w:szCs w:val="20"/>
                      <w:lang w:val="sr-Cyrl-CS"/>
                    </w:rPr>
                    <w:t>201</w:t>
                  </w:r>
                  <w:r w:rsidRPr="00E90AED">
                    <w:rPr>
                      <w:b/>
                      <w:sz w:val="20"/>
                      <w:szCs w:val="20"/>
                    </w:rPr>
                    <w:t>9</w:t>
                  </w:r>
                </w:p>
              </w:tc>
              <w:tc>
                <w:tcPr>
                  <w:tcW w:w="1078" w:type="dxa"/>
                  <w:tcBorders>
                    <w:top w:val="single" w:sz="4" w:space="0" w:color="000000"/>
                    <w:left w:val="single" w:sz="4" w:space="0" w:color="000000"/>
                    <w:bottom w:val="single" w:sz="4" w:space="0" w:color="000000"/>
                  </w:tcBorders>
                </w:tcPr>
                <w:p w:rsidR="00D14979" w:rsidRPr="006807F0" w:rsidRDefault="00D14979" w:rsidP="00B64D86">
                  <w:pPr>
                    <w:snapToGrid w:val="0"/>
                    <w:jc w:val="center"/>
                    <w:rPr>
                      <w:b/>
                      <w:sz w:val="20"/>
                      <w:szCs w:val="20"/>
                      <w:lang w:val="sr-Latn-BA"/>
                    </w:rPr>
                  </w:pPr>
                  <w:r w:rsidRPr="00CF4A1F">
                    <w:rPr>
                      <w:b/>
                      <w:sz w:val="20"/>
                      <w:szCs w:val="20"/>
                      <w:lang w:val="sr-Cyrl-CS"/>
                    </w:rPr>
                    <w:t>20</w:t>
                  </w:r>
                  <w:r>
                    <w:rPr>
                      <w:b/>
                      <w:sz w:val="20"/>
                      <w:szCs w:val="20"/>
                      <w:lang w:val="sr-Latn-BA"/>
                    </w:rPr>
                    <w:t>20</w:t>
                  </w:r>
                </w:p>
              </w:tc>
              <w:tc>
                <w:tcPr>
                  <w:tcW w:w="1078" w:type="dxa"/>
                  <w:tcBorders>
                    <w:top w:val="single" w:sz="4" w:space="0" w:color="000000"/>
                    <w:left w:val="single" w:sz="4" w:space="0" w:color="000000"/>
                    <w:bottom w:val="single" w:sz="4" w:space="0" w:color="000000"/>
                    <w:right w:val="single" w:sz="4" w:space="0" w:color="000000"/>
                  </w:tcBorders>
                </w:tcPr>
                <w:p w:rsidR="00D14979" w:rsidRPr="00EC1DFD" w:rsidRDefault="00D14979" w:rsidP="00B1223C">
                  <w:pPr>
                    <w:snapToGrid w:val="0"/>
                    <w:jc w:val="center"/>
                    <w:rPr>
                      <w:b/>
                      <w:sz w:val="20"/>
                      <w:szCs w:val="20"/>
                      <w:lang w:val="sr-Latn-BA"/>
                    </w:rPr>
                  </w:pPr>
                  <w:r w:rsidRPr="00CF4A1F">
                    <w:rPr>
                      <w:b/>
                      <w:sz w:val="20"/>
                      <w:szCs w:val="20"/>
                      <w:lang w:val="sr-Cyrl-CS"/>
                    </w:rPr>
                    <w:t>20</w:t>
                  </w:r>
                  <w:r>
                    <w:rPr>
                      <w:b/>
                      <w:sz w:val="20"/>
                      <w:szCs w:val="20"/>
                      <w:lang w:val="sr-Latn-BA"/>
                    </w:rPr>
                    <w:t>21</w:t>
                  </w:r>
                </w:p>
              </w:tc>
              <w:tc>
                <w:tcPr>
                  <w:tcW w:w="850" w:type="dxa"/>
                  <w:tcBorders>
                    <w:top w:val="single" w:sz="4" w:space="0" w:color="000000"/>
                    <w:left w:val="single" w:sz="4" w:space="0" w:color="000000"/>
                    <w:bottom w:val="single" w:sz="4" w:space="0" w:color="000000"/>
                    <w:right w:val="single" w:sz="4" w:space="0" w:color="000000"/>
                  </w:tcBorders>
                </w:tcPr>
                <w:p w:rsidR="00D14979" w:rsidRPr="00EC1DFD" w:rsidRDefault="00D14979" w:rsidP="00E90AED">
                  <w:pPr>
                    <w:rPr>
                      <w:b/>
                      <w:sz w:val="20"/>
                      <w:szCs w:val="20"/>
                      <w:lang w:val="sr-Latn-BA"/>
                    </w:rPr>
                  </w:pPr>
                  <w:r w:rsidRPr="00E90AED">
                    <w:rPr>
                      <w:b/>
                      <w:sz w:val="20"/>
                      <w:szCs w:val="20"/>
                      <w:lang w:val="sr-Cyrl-CS"/>
                    </w:rPr>
                    <w:t>20</w:t>
                  </w:r>
                  <w:r>
                    <w:rPr>
                      <w:b/>
                      <w:sz w:val="20"/>
                      <w:szCs w:val="20"/>
                      <w:lang w:val="sr-Latn-BA"/>
                    </w:rPr>
                    <w:t>22</w:t>
                  </w:r>
                </w:p>
              </w:tc>
              <w:tc>
                <w:tcPr>
                  <w:tcW w:w="851" w:type="dxa"/>
                  <w:tcBorders>
                    <w:top w:val="single" w:sz="4" w:space="0" w:color="000000"/>
                    <w:left w:val="single" w:sz="4" w:space="0" w:color="000000"/>
                    <w:bottom w:val="single" w:sz="4" w:space="0" w:color="000000"/>
                    <w:right w:val="single" w:sz="4" w:space="0" w:color="000000"/>
                  </w:tcBorders>
                </w:tcPr>
                <w:p w:rsidR="00D14979" w:rsidRPr="006807F0" w:rsidRDefault="00D14979" w:rsidP="006807F0">
                  <w:pPr>
                    <w:snapToGrid w:val="0"/>
                    <w:jc w:val="center"/>
                    <w:rPr>
                      <w:b/>
                      <w:sz w:val="20"/>
                      <w:szCs w:val="20"/>
                      <w:lang w:val="sr-Latn-BA"/>
                    </w:rPr>
                  </w:pPr>
                  <w:r w:rsidRPr="00CF4A1F">
                    <w:rPr>
                      <w:b/>
                      <w:sz w:val="20"/>
                      <w:szCs w:val="20"/>
                      <w:lang w:val="sr-Cyrl-CS"/>
                    </w:rPr>
                    <w:t>20</w:t>
                  </w:r>
                  <w:r>
                    <w:rPr>
                      <w:b/>
                      <w:sz w:val="20"/>
                      <w:szCs w:val="20"/>
                      <w:lang w:val="sr-Latn-BA"/>
                    </w:rPr>
                    <w:t>23</w:t>
                  </w:r>
                </w:p>
              </w:tc>
              <w:tc>
                <w:tcPr>
                  <w:tcW w:w="1134" w:type="dxa"/>
                  <w:tcBorders>
                    <w:top w:val="single" w:sz="4" w:space="0" w:color="000000"/>
                    <w:left w:val="single" w:sz="4" w:space="0" w:color="000000"/>
                    <w:bottom w:val="single" w:sz="4" w:space="0" w:color="000000"/>
                  </w:tcBorders>
                  <w:shd w:val="clear" w:color="auto" w:fill="auto"/>
                </w:tcPr>
                <w:p w:rsidR="00D14979" w:rsidRPr="00E90AED" w:rsidRDefault="00D14979" w:rsidP="00A711F6">
                  <w:pPr>
                    <w:snapToGrid w:val="0"/>
                    <w:jc w:val="center"/>
                    <w:rPr>
                      <w:b/>
                      <w:sz w:val="20"/>
                      <w:szCs w:val="20"/>
                      <w:lang w:val="sr-Latn-BA"/>
                    </w:rPr>
                  </w:pPr>
                  <w:r w:rsidRPr="00CF4A1F">
                    <w:rPr>
                      <w:b/>
                      <w:sz w:val="20"/>
                      <w:szCs w:val="20"/>
                      <w:lang w:val="sr-Cyrl-CS"/>
                    </w:rPr>
                    <w:t>20</w:t>
                  </w:r>
                  <w:r>
                    <w:rPr>
                      <w:b/>
                      <w:sz w:val="20"/>
                      <w:szCs w:val="20"/>
                      <w:lang w:val="sr-Latn-BA"/>
                    </w:rPr>
                    <w:t>24</w:t>
                  </w:r>
                </w:p>
              </w:tc>
            </w:tr>
            <w:tr w:rsidR="00D14979" w:rsidRPr="00CF4A1F" w:rsidTr="00D14979">
              <w:tc>
                <w:tcPr>
                  <w:tcW w:w="3170" w:type="dxa"/>
                  <w:tcBorders>
                    <w:left w:val="single" w:sz="4" w:space="0" w:color="000000"/>
                    <w:bottom w:val="single" w:sz="4" w:space="0" w:color="000000"/>
                  </w:tcBorders>
                  <w:shd w:val="clear" w:color="auto" w:fill="auto"/>
                </w:tcPr>
                <w:p w:rsidR="00D14979" w:rsidRPr="00CF4A1F" w:rsidRDefault="00D14979" w:rsidP="00A711F6">
                  <w:pPr>
                    <w:snapToGrid w:val="0"/>
                    <w:jc w:val="both"/>
                    <w:rPr>
                      <w:sz w:val="20"/>
                      <w:szCs w:val="20"/>
                      <w:lang w:val="sr-Cyrl-CS"/>
                    </w:rPr>
                  </w:pPr>
                  <w:r w:rsidRPr="00CF4A1F">
                    <w:rPr>
                      <w:sz w:val="20"/>
                      <w:szCs w:val="20"/>
                      <w:lang w:val="sr-Cyrl-CS"/>
                    </w:rPr>
                    <w:t>БДП у милионима КМ-номинални</w:t>
                  </w:r>
                </w:p>
              </w:tc>
              <w:tc>
                <w:tcPr>
                  <w:tcW w:w="1078" w:type="dxa"/>
                  <w:tcBorders>
                    <w:left w:val="single" w:sz="4" w:space="0" w:color="000000"/>
                    <w:bottom w:val="single" w:sz="4" w:space="0" w:color="000000"/>
                  </w:tcBorders>
                </w:tcPr>
                <w:p w:rsidR="00D14979" w:rsidRPr="00B22CE1" w:rsidRDefault="00D14979" w:rsidP="00B64D86">
                  <w:pPr>
                    <w:pStyle w:val="Caption"/>
                    <w:jc w:val="center"/>
                    <w:rPr>
                      <w:lang w:val="sr-Latn-BA"/>
                    </w:rPr>
                  </w:pPr>
                  <w:r>
                    <w:rPr>
                      <w:lang w:val="sr-Latn-BA"/>
                    </w:rPr>
                    <w:t>11233</w:t>
                  </w:r>
                </w:p>
              </w:tc>
              <w:tc>
                <w:tcPr>
                  <w:tcW w:w="1078" w:type="dxa"/>
                  <w:tcBorders>
                    <w:left w:val="single" w:sz="4" w:space="0" w:color="000000"/>
                    <w:bottom w:val="single" w:sz="4" w:space="0" w:color="000000"/>
                  </w:tcBorders>
                </w:tcPr>
                <w:p w:rsidR="00D14979" w:rsidRPr="00B64D86" w:rsidRDefault="00D14979" w:rsidP="00B64D86">
                  <w:pPr>
                    <w:snapToGrid w:val="0"/>
                    <w:jc w:val="right"/>
                    <w:rPr>
                      <w:sz w:val="20"/>
                      <w:szCs w:val="20"/>
                      <w:lang w:val="sr-Latn-BA"/>
                    </w:rPr>
                  </w:pPr>
                  <w:r>
                    <w:rPr>
                      <w:sz w:val="20"/>
                      <w:szCs w:val="20"/>
                      <w:lang w:val="sr-Latn-BA"/>
                    </w:rPr>
                    <w:t>11020</w:t>
                  </w:r>
                </w:p>
              </w:tc>
              <w:tc>
                <w:tcPr>
                  <w:tcW w:w="1078" w:type="dxa"/>
                  <w:tcBorders>
                    <w:left w:val="single" w:sz="4" w:space="0" w:color="000000"/>
                    <w:bottom w:val="single" w:sz="4" w:space="0" w:color="000000"/>
                    <w:right w:val="single" w:sz="4" w:space="0" w:color="000000"/>
                  </w:tcBorders>
                </w:tcPr>
                <w:p w:rsidR="00D14979" w:rsidRPr="00EC1DFD" w:rsidRDefault="00D14979" w:rsidP="00B1223C">
                  <w:pPr>
                    <w:snapToGrid w:val="0"/>
                    <w:jc w:val="center"/>
                    <w:rPr>
                      <w:sz w:val="20"/>
                      <w:szCs w:val="20"/>
                      <w:lang w:val="sr-Latn-BA"/>
                    </w:rPr>
                  </w:pPr>
                  <w:r>
                    <w:rPr>
                      <w:sz w:val="20"/>
                      <w:szCs w:val="20"/>
                    </w:rPr>
                    <w:t>1</w:t>
                  </w:r>
                  <w:r w:rsidR="00233125">
                    <w:rPr>
                      <w:sz w:val="20"/>
                      <w:szCs w:val="20"/>
                      <w:lang w:val="sr-Latn-BA"/>
                    </w:rPr>
                    <w:t>2293</w:t>
                  </w:r>
                </w:p>
              </w:tc>
              <w:tc>
                <w:tcPr>
                  <w:tcW w:w="850" w:type="dxa"/>
                  <w:tcBorders>
                    <w:left w:val="single" w:sz="4" w:space="0" w:color="000000"/>
                    <w:bottom w:val="single" w:sz="4" w:space="0" w:color="000000"/>
                    <w:right w:val="single" w:sz="4" w:space="0" w:color="000000"/>
                  </w:tcBorders>
                </w:tcPr>
                <w:p w:rsidR="00D14979" w:rsidRPr="00B22CE1" w:rsidRDefault="00913A6D" w:rsidP="00E90AED">
                  <w:pPr>
                    <w:pStyle w:val="Caption"/>
                    <w:jc w:val="center"/>
                    <w:rPr>
                      <w:lang w:val="sr-Latn-BA"/>
                    </w:rPr>
                  </w:pPr>
                  <w:r>
                    <w:rPr>
                      <w:lang w:val="sr-Latn-BA"/>
                    </w:rPr>
                    <w:t>13879</w:t>
                  </w:r>
                </w:p>
              </w:tc>
              <w:tc>
                <w:tcPr>
                  <w:tcW w:w="851" w:type="dxa"/>
                  <w:tcBorders>
                    <w:left w:val="single" w:sz="4" w:space="0" w:color="000000"/>
                    <w:bottom w:val="single" w:sz="4" w:space="0" w:color="000000"/>
                    <w:right w:val="single" w:sz="4" w:space="0" w:color="000000"/>
                  </w:tcBorders>
                </w:tcPr>
                <w:p w:rsidR="00D14979" w:rsidRPr="00D14979" w:rsidRDefault="00913A6D" w:rsidP="006807F0">
                  <w:pPr>
                    <w:snapToGrid w:val="0"/>
                    <w:jc w:val="right"/>
                    <w:rPr>
                      <w:sz w:val="20"/>
                      <w:szCs w:val="20"/>
                      <w:lang w:val="sr-Latn-BA"/>
                    </w:rPr>
                  </w:pPr>
                  <w:r>
                    <w:rPr>
                      <w:sz w:val="20"/>
                      <w:szCs w:val="20"/>
                      <w:lang w:val="sr-Latn-BA"/>
                    </w:rPr>
                    <w:t>14739</w:t>
                  </w:r>
                </w:p>
              </w:tc>
              <w:tc>
                <w:tcPr>
                  <w:tcW w:w="1134" w:type="dxa"/>
                  <w:tcBorders>
                    <w:left w:val="single" w:sz="4" w:space="0" w:color="000000"/>
                    <w:bottom w:val="single" w:sz="4" w:space="0" w:color="000000"/>
                  </w:tcBorders>
                  <w:shd w:val="clear" w:color="auto" w:fill="auto"/>
                </w:tcPr>
                <w:p w:rsidR="00D14979" w:rsidRPr="00B22CE1" w:rsidRDefault="00EC6E04" w:rsidP="00964BB3">
                  <w:pPr>
                    <w:snapToGrid w:val="0"/>
                    <w:jc w:val="center"/>
                    <w:rPr>
                      <w:sz w:val="20"/>
                      <w:szCs w:val="20"/>
                      <w:lang w:val="sr-Latn-BA"/>
                    </w:rPr>
                  </w:pPr>
                  <w:r>
                    <w:rPr>
                      <w:sz w:val="20"/>
                      <w:szCs w:val="20"/>
                      <w:lang w:val="sr-Latn-BA"/>
                    </w:rPr>
                    <w:t>16460</w:t>
                  </w:r>
                </w:p>
              </w:tc>
            </w:tr>
            <w:tr w:rsidR="00D14979" w:rsidRPr="00CF4A1F" w:rsidTr="00D14979">
              <w:tc>
                <w:tcPr>
                  <w:tcW w:w="3170" w:type="dxa"/>
                  <w:tcBorders>
                    <w:left w:val="single" w:sz="4" w:space="0" w:color="000000"/>
                    <w:bottom w:val="single" w:sz="4" w:space="0" w:color="000000"/>
                  </w:tcBorders>
                  <w:shd w:val="clear" w:color="auto" w:fill="auto"/>
                </w:tcPr>
                <w:p w:rsidR="00D14979" w:rsidRPr="00CF4A1F" w:rsidRDefault="00D14979" w:rsidP="00A711F6">
                  <w:pPr>
                    <w:snapToGrid w:val="0"/>
                    <w:jc w:val="both"/>
                    <w:rPr>
                      <w:sz w:val="20"/>
                      <w:szCs w:val="20"/>
                      <w:lang w:val="sr-Cyrl-CS"/>
                    </w:rPr>
                  </w:pPr>
                  <w:r>
                    <w:rPr>
                      <w:sz w:val="20"/>
                      <w:szCs w:val="20"/>
                      <w:lang w:val="sr-Cyrl-CS"/>
                    </w:rPr>
                    <w:t>Број становника – у мил</w:t>
                  </w:r>
                </w:p>
              </w:tc>
              <w:tc>
                <w:tcPr>
                  <w:tcW w:w="1078" w:type="dxa"/>
                  <w:tcBorders>
                    <w:left w:val="single" w:sz="4" w:space="0" w:color="000000"/>
                    <w:bottom w:val="single" w:sz="4" w:space="0" w:color="000000"/>
                  </w:tcBorders>
                </w:tcPr>
                <w:p w:rsidR="00D14979" w:rsidRPr="00B22CE1" w:rsidRDefault="00D14979" w:rsidP="00B64D86">
                  <w:pPr>
                    <w:pStyle w:val="Caption"/>
                    <w:jc w:val="center"/>
                    <w:rPr>
                      <w:lang w:val="sr-Latn-BA"/>
                    </w:rPr>
                  </w:pPr>
                  <w:r w:rsidRPr="00CF4A1F">
                    <w:rPr>
                      <w:lang w:val="sr-Cyrl-CS"/>
                    </w:rPr>
                    <w:t>1.</w:t>
                  </w:r>
                  <w:r>
                    <w:rPr>
                      <w:lang w:val="sr-Cyrl-CS"/>
                    </w:rPr>
                    <w:t>1</w:t>
                  </w:r>
                  <w:r>
                    <w:rPr>
                      <w:lang w:val="sr-Latn-BA"/>
                    </w:rPr>
                    <w:t>4</w:t>
                  </w:r>
                </w:p>
              </w:tc>
              <w:tc>
                <w:tcPr>
                  <w:tcW w:w="1078" w:type="dxa"/>
                  <w:tcBorders>
                    <w:left w:val="single" w:sz="4" w:space="0" w:color="000000"/>
                    <w:bottom w:val="single" w:sz="4" w:space="0" w:color="000000"/>
                  </w:tcBorders>
                </w:tcPr>
                <w:p w:rsidR="00D14979" w:rsidRPr="00104924" w:rsidRDefault="00D14979" w:rsidP="00B64D86">
                  <w:pPr>
                    <w:snapToGrid w:val="0"/>
                    <w:jc w:val="right"/>
                    <w:rPr>
                      <w:sz w:val="20"/>
                      <w:szCs w:val="20"/>
                      <w:lang w:val="sr-Latn-BA"/>
                    </w:rPr>
                  </w:pPr>
                  <w:r w:rsidRPr="00CF4A1F">
                    <w:rPr>
                      <w:sz w:val="20"/>
                      <w:szCs w:val="20"/>
                      <w:lang w:val="sr-Cyrl-CS"/>
                    </w:rPr>
                    <w:t>1.</w:t>
                  </w:r>
                  <w:r>
                    <w:rPr>
                      <w:sz w:val="20"/>
                      <w:szCs w:val="20"/>
                      <w:lang w:val="sr-Cyrl-CS"/>
                    </w:rPr>
                    <w:t>1</w:t>
                  </w:r>
                  <w:r>
                    <w:rPr>
                      <w:sz w:val="20"/>
                      <w:szCs w:val="20"/>
                      <w:lang w:val="sr-Latn-BA"/>
                    </w:rPr>
                    <w:t>3</w:t>
                  </w:r>
                </w:p>
              </w:tc>
              <w:tc>
                <w:tcPr>
                  <w:tcW w:w="1078" w:type="dxa"/>
                  <w:tcBorders>
                    <w:left w:val="single" w:sz="4" w:space="0" w:color="000000"/>
                    <w:bottom w:val="single" w:sz="4" w:space="0" w:color="000000"/>
                    <w:right w:val="single" w:sz="4" w:space="0" w:color="000000"/>
                  </w:tcBorders>
                </w:tcPr>
                <w:p w:rsidR="00D14979" w:rsidRPr="00EC1DFD" w:rsidRDefault="00D14979" w:rsidP="00B1223C">
                  <w:pPr>
                    <w:snapToGrid w:val="0"/>
                    <w:jc w:val="right"/>
                    <w:rPr>
                      <w:sz w:val="20"/>
                      <w:szCs w:val="20"/>
                      <w:lang w:val="sr-Latn-BA"/>
                    </w:rPr>
                  </w:pPr>
                  <w:r w:rsidRPr="00CF4A1F">
                    <w:rPr>
                      <w:sz w:val="20"/>
                      <w:szCs w:val="20"/>
                      <w:lang w:val="sr-Cyrl-CS"/>
                    </w:rPr>
                    <w:t>1.</w:t>
                  </w:r>
                  <w:r>
                    <w:rPr>
                      <w:sz w:val="20"/>
                      <w:szCs w:val="20"/>
                      <w:lang w:val="sr-Cyrl-CS"/>
                    </w:rPr>
                    <w:t>1</w:t>
                  </w:r>
                  <w:r>
                    <w:rPr>
                      <w:sz w:val="20"/>
                      <w:szCs w:val="20"/>
                      <w:lang w:val="sr-Latn-BA"/>
                    </w:rPr>
                    <w:t>3</w:t>
                  </w:r>
                </w:p>
              </w:tc>
              <w:tc>
                <w:tcPr>
                  <w:tcW w:w="850" w:type="dxa"/>
                  <w:tcBorders>
                    <w:left w:val="single" w:sz="4" w:space="0" w:color="000000"/>
                    <w:bottom w:val="single" w:sz="4" w:space="0" w:color="000000"/>
                    <w:right w:val="single" w:sz="4" w:space="0" w:color="000000"/>
                  </w:tcBorders>
                </w:tcPr>
                <w:p w:rsidR="00D14979" w:rsidRPr="00B22CE1" w:rsidRDefault="00D14979" w:rsidP="00E90AED">
                  <w:pPr>
                    <w:pStyle w:val="Caption"/>
                    <w:jc w:val="center"/>
                    <w:rPr>
                      <w:lang w:val="sr-Latn-BA"/>
                    </w:rPr>
                  </w:pPr>
                  <w:r w:rsidRPr="00CF4A1F">
                    <w:rPr>
                      <w:lang w:val="sr-Cyrl-CS"/>
                    </w:rPr>
                    <w:t>1.</w:t>
                  </w:r>
                  <w:r>
                    <w:rPr>
                      <w:lang w:val="sr-Cyrl-CS"/>
                    </w:rPr>
                    <w:t>1</w:t>
                  </w:r>
                  <w:r>
                    <w:rPr>
                      <w:lang w:val="sr-Latn-BA"/>
                    </w:rPr>
                    <w:t>2</w:t>
                  </w:r>
                </w:p>
              </w:tc>
              <w:tc>
                <w:tcPr>
                  <w:tcW w:w="851" w:type="dxa"/>
                  <w:tcBorders>
                    <w:left w:val="single" w:sz="4" w:space="0" w:color="000000"/>
                    <w:bottom w:val="single" w:sz="4" w:space="0" w:color="000000"/>
                    <w:right w:val="single" w:sz="4" w:space="0" w:color="000000"/>
                  </w:tcBorders>
                </w:tcPr>
                <w:p w:rsidR="00D14979" w:rsidRPr="00104924" w:rsidRDefault="00D14979" w:rsidP="006807F0">
                  <w:pPr>
                    <w:snapToGrid w:val="0"/>
                    <w:jc w:val="right"/>
                    <w:rPr>
                      <w:sz w:val="20"/>
                      <w:szCs w:val="20"/>
                      <w:lang w:val="sr-Latn-BA"/>
                    </w:rPr>
                  </w:pPr>
                  <w:r w:rsidRPr="00CF4A1F">
                    <w:rPr>
                      <w:sz w:val="20"/>
                      <w:szCs w:val="20"/>
                      <w:lang w:val="sr-Cyrl-CS"/>
                    </w:rPr>
                    <w:t>1.</w:t>
                  </w:r>
                  <w:r>
                    <w:rPr>
                      <w:sz w:val="20"/>
                      <w:szCs w:val="20"/>
                      <w:lang w:val="sr-Cyrl-CS"/>
                    </w:rPr>
                    <w:t>1</w:t>
                  </w:r>
                  <w:r w:rsidR="00913A6D">
                    <w:rPr>
                      <w:sz w:val="20"/>
                      <w:szCs w:val="20"/>
                      <w:lang w:val="sr-Latn-BA"/>
                    </w:rPr>
                    <w:t>1</w:t>
                  </w:r>
                </w:p>
              </w:tc>
              <w:tc>
                <w:tcPr>
                  <w:tcW w:w="1134" w:type="dxa"/>
                  <w:tcBorders>
                    <w:left w:val="single" w:sz="4" w:space="0" w:color="000000"/>
                    <w:bottom w:val="single" w:sz="4" w:space="0" w:color="000000"/>
                  </w:tcBorders>
                  <w:shd w:val="clear" w:color="auto" w:fill="auto"/>
                </w:tcPr>
                <w:p w:rsidR="00D14979" w:rsidRPr="00B22CE1" w:rsidRDefault="00D14979" w:rsidP="00A711F6">
                  <w:pPr>
                    <w:snapToGrid w:val="0"/>
                    <w:jc w:val="right"/>
                    <w:rPr>
                      <w:sz w:val="20"/>
                      <w:szCs w:val="20"/>
                      <w:lang w:val="sr-Latn-BA"/>
                    </w:rPr>
                  </w:pPr>
                  <w:r w:rsidRPr="00CF4A1F">
                    <w:rPr>
                      <w:sz w:val="20"/>
                      <w:szCs w:val="20"/>
                      <w:lang w:val="sr-Cyrl-CS"/>
                    </w:rPr>
                    <w:t>1.</w:t>
                  </w:r>
                  <w:r>
                    <w:rPr>
                      <w:sz w:val="20"/>
                      <w:szCs w:val="20"/>
                      <w:lang w:val="sr-Cyrl-CS"/>
                    </w:rPr>
                    <w:t>1</w:t>
                  </w:r>
                  <w:r>
                    <w:rPr>
                      <w:sz w:val="20"/>
                      <w:szCs w:val="20"/>
                      <w:lang w:val="sr-Latn-BA"/>
                    </w:rPr>
                    <w:t>1</w:t>
                  </w:r>
                </w:p>
              </w:tc>
            </w:tr>
            <w:tr w:rsidR="00D14979" w:rsidRPr="00CF4A1F" w:rsidTr="00D14979">
              <w:trPr>
                <w:trHeight w:val="75"/>
              </w:trPr>
              <w:tc>
                <w:tcPr>
                  <w:tcW w:w="3170" w:type="dxa"/>
                  <w:tcBorders>
                    <w:left w:val="single" w:sz="4" w:space="0" w:color="000000"/>
                    <w:bottom w:val="single" w:sz="4" w:space="0" w:color="000000"/>
                  </w:tcBorders>
                  <w:shd w:val="clear" w:color="auto" w:fill="auto"/>
                </w:tcPr>
                <w:p w:rsidR="00D14979" w:rsidRPr="00CF4A1F" w:rsidRDefault="00D14979" w:rsidP="00A711F6">
                  <w:pPr>
                    <w:snapToGrid w:val="0"/>
                    <w:jc w:val="both"/>
                    <w:rPr>
                      <w:sz w:val="20"/>
                      <w:szCs w:val="20"/>
                      <w:lang w:val="sr-Cyrl-CS"/>
                    </w:rPr>
                  </w:pPr>
                  <w:r w:rsidRPr="00CF4A1F">
                    <w:rPr>
                      <w:sz w:val="20"/>
                      <w:szCs w:val="20"/>
                      <w:lang w:val="sr-Cyrl-CS"/>
                    </w:rPr>
                    <w:t>БДП по становнику у КМ</w:t>
                  </w:r>
                </w:p>
              </w:tc>
              <w:tc>
                <w:tcPr>
                  <w:tcW w:w="1078" w:type="dxa"/>
                  <w:tcBorders>
                    <w:left w:val="single" w:sz="4" w:space="0" w:color="000000"/>
                    <w:bottom w:val="single" w:sz="4" w:space="0" w:color="000000"/>
                  </w:tcBorders>
                </w:tcPr>
                <w:p w:rsidR="00D14979" w:rsidRPr="002C453F" w:rsidRDefault="00D14979" w:rsidP="00B64D86">
                  <w:pPr>
                    <w:pStyle w:val="Caption"/>
                    <w:jc w:val="center"/>
                    <w:rPr>
                      <w:lang w:val="sr-Latn-BA"/>
                    </w:rPr>
                  </w:pPr>
                  <w:r>
                    <w:t>9</w:t>
                  </w:r>
                  <w:r>
                    <w:rPr>
                      <w:lang w:val="sr-Latn-BA"/>
                    </w:rPr>
                    <w:t>832</w:t>
                  </w:r>
                </w:p>
              </w:tc>
              <w:tc>
                <w:tcPr>
                  <w:tcW w:w="1078" w:type="dxa"/>
                  <w:tcBorders>
                    <w:left w:val="single" w:sz="4" w:space="0" w:color="000000"/>
                    <w:bottom w:val="single" w:sz="4" w:space="0" w:color="000000"/>
                  </w:tcBorders>
                </w:tcPr>
                <w:p w:rsidR="00D14979" w:rsidRPr="002C453F" w:rsidRDefault="00D14979" w:rsidP="00B64D86">
                  <w:pPr>
                    <w:snapToGrid w:val="0"/>
                    <w:jc w:val="right"/>
                    <w:rPr>
                      <w:sz w:val="20"/>
                      <w:szCs w:val="20"/>
                      <w:lang w:val="sr-Latn-BA"/>
                    </w:rPr>
                  </w:pPr>
                  <w:r>
                    <w:rPr>
                      <w:sz w:val="20"/>
                      <w:szCs w:val="20"/>
                    </w:rPr>
                    <w:t>9</w:t>
                  </w:r>
                  <w:r>
                    <w:rPr>
                      <w:sz w:val="20"/>
                      <w:szCs w:val="20"/>
                      <w:lang w:val="sr-Latn-BA"/>
                    </w:rPr>
                    <w:t>710</w:t>
                  </w:r>
                </w:p>
              </w:tc>
              <w:tc>
                <w:tcPr>
                  <w:tcW w:w="1078" w:type="dxa"/>
                  <w:tcBorders>
                    <w:left w:val="single" w:sz="4" w:space="0" w:color="000000"/>
                    <w:bottom w:val="single" w:sz="4" w:space="0" w:color="000000"/>
                    <w:right w:val="single" w:sz="4" w:space="0" w:color="000000"/>
                  </w:tcBorders>
                </w:tcPr>
                <w:p w:rsidR="00D14979" w:rsidRPr="00EC1DFD" w:rsidRDefault="00D14979" w:rsidP="00B1223C">
                  <w:pPr>
                    <w:snapToGrid w:val="0"/>
                    <w:jc w:val="right"/>
                    <w:rPr>
                      <w:sz w:val="20"/>
                      <w:szCs w:val="20"/>
                      <w:lang w:val="sr-Latn-BA"/>
                    </w:rPr>
                  </w:pPr>
                  <w:r>
                    <w:rPr>
                      <w:sz w:val="20"/>
                      <w:szCs w:val="20"/>
                      <w:lang w:val="sr-Latn-BA"/>
                    </w:rPr>
                    <w:t>10</w:t>
                  </w:r>
                  <w:r w:rsidR="00233125">
                    <w:rPr>
                      <w:sz w:val="20"/>
                      <w:szCs w:val="20"/>
                      <w:lang w:val="sr-Latn-BA"/>
                    </w:rPr>
                    <w:t>882</w:t>
                  </w:r>
                </w:p>
              </w:tc>
              <w:tc>
                <w:tcPr>
                  <w:tcW w:w="850" w:type="dxa"/>
                  <w:tcBorders>
                    <w:left w:val="single" w:sz="4" w:space="0" w:color="000000"/>
                    <w:bottom w:val="single" w:sz="4" w:space="0" w:color="000000"/>
                    <w:right w:val="single" w:sz="4" w:space="0" w:color="000000"/>
                  </w:tcBorders>
                </w:tcPr>
                <w:p w:rsidR="00D14979" w:rsidRPr="002C453F" w:rsidRDefault="00913A6D" w:rsidP="00E90AED">
                  <w:pPr>
                    <w:pStyle w:val="Caption"/>
                    <w:jc w:val="center"/>
                    <w:rPr>
                      <w:lang w:val="sr-Latn-BA"/>
                    </w:rPr>
                  </w:pPr>
                  <w:r>
                    <w:rPr>
                      <w:lang w:val="sr-Latn-BA"/>
                    </w:rPr>
                    <w:t>12344</w:t>
                  </w:r>
                </w:p>
              </w:tc>
              <w:tc>
                <w:tcPr>
                  <w:tcW w:w="851" w:type="dxa"/>
                  <w:tcBorders>
                    <w:left w:val="single" w:sz="4" w:space="0" w:color="000000"/>
                    <w:bottom w:val="single" w:sz="4" w:space="0" w:color="000000"/>
                    <w:right w:val="single" w:sz="4" w:space="0" w:color="000000"/>
                  </w:tcBorders>
                </w:tcPr>
                <w:p w:rsidR="00D14979" w:rsidRPr="00D14979" w:rsidRDefault="00EC6E04" w:rsidP="006807F0">
                  <w:pPr>
                    <w:snapToGrid w:val="0"/>
                    <w:jc w:val="right"/>
                    <w:rPr>
                      <w:sz w:val="20"/>
                      <w:szCs w:val="20"/>
                      <w:lang w:val="sr-Latn-BA"/>
                    </w:rPr>
                  </w:pPr>
                  <w:r>
                    <w:rPr>
                      <w:sz w:val="20"/>
                      <w:szCs w:val="20"/>
                      <w:lang w:val="sr-Latn-BA"/>
                    </w:rPr>
                    <w:t>13174</w:t>
                  </w:r>
                </w:p>
              </w:tc>
              <w:tc>
                <w:tcPr>
                  <w:tcW w:w="1134" w:type="dxa"/>
                  <w:tcBorders>
                    <w:left w:val="single" w:sz="4" w:space="0" w:color="000000"/>
                    <w:bottom w:val="single" w:sz="4" w:space="0" w:color="000000"/>
                  </w:tcBorders>
                  <w:shd w:val="clear" w:color="auto" w:fill="auto"/>
                </w:tcPr>
                <w:p w:rsidR="00D14979" w:rsidRPr="00B22CE1" w:rsidRDefault="00E03443" w:rsidP="00A711F6">
                  <w:pPr>
                    <w:snapToGrid w:val="0"/>
                    <w:jc w:val="right"/>
                    <w:rPr>
                      <w:sz w:val="20"/>
                      <w:szCs w:val="20"/>
                      <w:lang w:val="sr-Latn-BA"/>
                    </w:rPr>
                  </w:pPr>
                  <w:r>
                    <w:rPr>
                      <w:sz w:val="20"/>
                      <w:szCs w:val="20"/>
                      <w:lang w:val="sr-Latn-BA"/>
                    </w:rPr>
                    <w:t>14785</w:t>
                  </w:r>
                </w:p>
              </w:tc>
            </w:tr>
            <w:tr w:rsidR="00D14979" w:rsidRPr="00CF4A1F" w:rsidTr="00D14979">
              <w:tc>
                <w:tcPr>
                  <w:tcW w:w="3170" w:type="dxa"/>
                  <w:tcBorders>
                    <w:left w:val="single" w:sz="4" w:space="0" w:color="000000"/>
                    <w:bottom w:val="single" w:sz="4" w:space="0" w:color="000000"/>
                  </w:tcBorders>
                  <w:shd w:val="clear" w:color="auto" w:fill="auto"/>
                </w:tcPr>
                <w:p w:rsidR="00D14979" w:rsidRPr="00CF4A1F" w:rsidRDefault="00D14979" w:rsidP="00A711F6">
                  <w:pPr>
                    <w:snapToGrid w:val="0"/>
                    <w:jc w:val="both"/>
                    <w:rPr>
                      <w:sz w:val="20"/>
                      <w:szCs w:val="20"/>
                      <w:lang w:val="sr-Cyrl-CS"/>
                    </w:rPr>
                  </w:pPr>
                  <w:r w:rsidRPr="00CF4A1F">
                    <w:rPr>
                      <w:sz w:val="20"/>
                      <w:szCs w:val="20"/>
                      <w:lang w:val="sr-Cyrl-CS"/>
                    </w:rPr>
                    <w:t>% раста БДП-а, номинално</w:t>
                  </w:r>
                </w:p>
              </w:tc>
              <w:tc>
                <w:tcPr>
                  <w:tcW w:w="1078" w:type="dxa"/>
                  <w:tcBorders>
                    <w:left w:val="single" w:sz="4" w:space="0" w:color="000000"/>
                    <w:bottom w:val="single" w:sz="4" w:space="0" w:color="000000"/>
                  </w:tcBorders>
                </w:tcPr>
                <w:p w:rsidR="00D14979" w:rsidRPr="00CF4A1F" w:rsidRDefault="00D14979" w:rsidP="00B64D86">
                  <w:pPr>
                    <w:pStyle w:val="Caption"/>
                    <w:jc w:val="center"/>
                    <w:rPr>
                      <w:lang w:val="sr-Cyrl-CS"/>
                    </w:rPr>
                  </w:pPr>
                  <w:r>
                    <w:rPr>
                      <w:lang w:val="sr-Latn-BA"/>
                    </w:rPr>
                    <w:t>5,2</w:t>
                  </w:r>
                  <w:r w:rsidRPr="00CF4A1F">
                    <w:rPr>
                      <w:lang w:val="sr-Cyrl-CS"/>
                    </w:rPr>
                    <w:t>%</w:t>
                  </w:r>
                </w:p>
              </w:tc>
              <w:tc>
                <w:tcPr>
                  <w:tcW w:w="1078" w:type="dxa"/>
                  <w:tcBorders>
                    <w:left w:val="single" w:sz="4" w:space="0" w:color="000000"/>
                    <w:bottom w:val="single" w:sz="4" w:space="0" w:color="000000"/>
                  </w:tcBorders>
                </w:tcPr>
                <w:p w:rsidR="00D14979" w:rsidRPr="00CF4A1F" w:rsidRDefault="00D14979" w:rsidP="00B64D86">
                  <w:pPr>
                    <w:snapToGrid w:val="0"/>
                    <w:jc w:val="right"/>
                    <w:rPr>
                      <w:sz w:val="20"/>
                      <w:szCs w:val="20"/>
                      <w:lang w:val="sr-Cyrl-CS"/>
                    </w:rPr>
                  </w:pPr>
                  <w:r>
                    <w:rPr>
                      <w:sz w:val="20"/>
                      <w:szCs w:val="20"/>
                      <w:lang w:val="sr-Latn-BA"/>
                    </w:rPr>
                    <w:t>-2,1</w:t>
                  </w:r>
                  <w:r w:rsidRPr="00CF4A1F">
                    <w:rPr>
                      <w:sz w:val="20"/>
                      <w:szCs w:val="20"/>
                      <w:lang w:val="sr-Cyrl-CS"/>
                    </w:rPr>
                    <w:t>%</w:t>
                  </w:r>
                </w:p>
              </w:tc>
              <w:tc>
                <w:tcPr>
                  <w:tcW w:w="1078" w:type="dxa"/>
                  <w:tcBorders>
                    <w:left w:val="single" w:sz="4" w:space="0" w:color="000000"/>
                    <w:bottom w:val="single" w:sz="4" w:space="0" w:color="000000"/>
                    <w:right w:val="single" w:sz="4" w:space="0" w:color="000000"/>
                  </w:tcBorders>
                </w:tcPr>
                <w:p w:rsidR="00D14979" w:rsidRPr="00233125" w:rsidRDefault="00233125" w:rsidP="00B1223C">
                  <w:pPr>
                    <w:snapToGrid w:val="0"/>
                    <w:jc w:val="right"/>
                    <w:rPr>
                      <w:sz w:val="20"/>
                      <w:szCs w:val="20"/>
                      <w:lang w:val="sr-Latn-BA"/>
                    </w:rPr>
                  </w:pPr>
                  <w:r>
                    <w:rPr>
                      <w:sz w:val="20"/>
                      <w:szCs w:val="20"/>
                      <w:lang w:val="sr-Latn-BA"/>
                    </w:rPr>
                    <w:t>10,4</w:t>
                  </w:r>
                </w:p>
              </w:tc>
              <w:tc>
                <w:tcPr>
                  <w:tcW w:w="850" w:type="dxa"/>
                  <w:tcBorders>
                    <w:left w:val="single" w:sz="4" w:space="0" w:color="000000"/>
                    <w:bottom w:val="single" w:sz="4" w:space="0" w:color="000000"/>
                    <w:right w:val="single" w:sz="4" w:space="0" w:color="000000"/>
                  </w:tcBorders>
                </w:tcPr>
                <w:p w:rsidR="00D14979" w:rsidRPr="00CF4A1F" w:rsidRDefault="00913A6D" w:rsidP="00E90AED">
                  <w:pPr>
                    <w:pStyle w:val="Caption"/>
                    <w:jc w:val="center"/>
                    <w:rPr>
                      <w:lang w:val="sr-Cyrl-CS"/>
                    </w:rPr>
                  </w:pPr>
                  <w:r>
                    <w:rPr>
                      <w:lang w:val="sr-Latn-BA"/>
                    </w:rPr>
                    <w:t>12,9</w:t>
                  </w:r>
                  <w:r w:rsidR="00D14979" w:rsidRPr="00CF4A1F">
                    <w:rPr>
                      <w:lang w:val="sr-Cyrl-CS"/>
                    </w:rPr>
                    <w:t>%</w:t>
                  </w:r>
                </w:p>
              </w:tc>
              <w:tc>
                <w:tcPr>
                  <w:tcW w:w="851" w:type="dxa"/>
                  <w:tcBorders>
                    <w:left w:val="single" w:sz="4" w:space="0" w:color="000000"/>
                    <w:bottom w:val="single" w:sz="4" w:space="0" w:color="000000"/>
                    <w:right w:val="single" w:sz="4" w:space="0" w:color="000000"/>
                  </w:tcBorders>
                </w:tcPr>
                <w:p w:rsidR="00D14979" w:rsidRPr="00CF4A1F" w:rsidRDefault="00EC6E04" w:rsidP="006807F0">
                  <w:pPr>
                    <w:snapToGrid w:val="0"/>
                    <w:jc w:val="right"/>
                    <w:rPr>
                      <w:sz w:val="20"/>
                      <w:szCs w:val="20"/>
                      <w:lang w:val="sr-Cyrl-CS"/>
                    </w:rPr>
                  </w:pPr>
                  <w:r>
                    <w:rPr>
                      <w:sz w:val="20"/>
                      <w:szCs w:val="20"/>
                      <w:lang w:val="sr-Latn-BA"/>
                    </w:rPr>
                    <w:t>6,2</w:t>
                  </w:r>
                  <w:r w:rsidR="00D14979" w:rsidRPr="00CF4A1F">
                    <w:rPr>
                      <w:sz w:val="20"/>
                      <w:szCs w:val="20"/>
                      <w:lang w:val="sr-Cyrl-CS"/>
                    </w:rPr>
                    <w:t>%</w:t>
                  </w:r>
                </w:p>
              </w:tc>
              <w:tc>
                <w:tcPr>
                  <w:tcW w:w="1134" w:type="dxa"/>
                  <w:tcBorders>
                    <w:left w:val="single" w:sz="4" w:space="0" w:color="000000"/>
                    <w:bottom w:val="single" w:sz="4" w:space="0" w:color="000000"/>
                  </w:tcBorders>
                  <w:shd w:val="clear" w:color="auto" w:fill="auto"/>
                </w:tcPr>
                <w:p w:rsidR="00D14979" w:rsidRPr="00CF4A1F" w:rsidRDefault="00BC1178" w:rsidP="00A711F6">
                  <w:pPr>
                    <w:snapToGrid w:val="0"/>
                    <w:jc w:val="right"/>
                    <w:rPr>
                      <w:sz w:val="20"/>
                      <w:szCs w:val="20"/>
                      <w:lang w:val="sr-Cyrl-CS"/>
                    </w:rPr>
                  </w:pPr>
                  <w:r>
                    <w:rPr>
                      <w:sz w:val="20"/>
                      <w:szCs w:val="20"/>
                      <w:lang w:val="sr-Latn-BA"/>
                    </w:rPr>
                    <w:t>5</w:t>
                  </w:r>
                  <w:r w:rsidR="00E03443">
                    <w:rPr>
                      <w:sz w:val="20"/>
                      <w:szCs w:val="20"/>
                      <w:lang w:val="sr-Latn-BA"/>
                    </w:rPr>
                    <w:t>,4</w:t>
                  </w:r>
                  <w:r w:rsidR="00D14979" w:rsidRPr="00CF4A1F">
                    <w:rPr>
                      <w:sz w:val="20"/>
                      <w:szCs w:val="20"/>
                      <w:lang w:val="sr-Cyrl-CS"/>
                    </w:rPr>
                    <w:t>%</w:t>
                  </w:r>
                </w:p>
              </w:tc>
            </w:tr>
            <w:tr w:rsidR="00D14979" w:rsidRPr="00CF4A1F" w:rsidTr="00D14979">
              <w:tc>
                <w:tcPr>
                  <w:tcW w:w="3170" w:type="dxa"/>
                  <w:tcBorders>
                    <w:left w:val="single" w:sz="4" w:space="0" w:color="000000"/>
                    <w:bottom w:val="single" w:sz="4" w:space="0" w:color="000000"/>
                  </w:tcBorders>
                  <w:shd w:val="clear" w:color="auto" w:fill="auto"/>
                </w:tcPr>
                <w:p w:rsidR="00D14979" w:rsidRPr="00CF4A1F" w:rsidRDefault="00D14979" w:rsidP="00A711F6">
                  <w:pPr>
                    <w:snapToGrid w:val="0"/>
                    <w:jc w:val="both"/>
                    <w:rPr>
                      <w:b/>
                      <w:bCs/>
                      <w:sz w:val="20"/>
                      <w:szCs w:val="20"/>
                      <w:lang w:val="sr-Cyrl-CS"/>
                    </w:rPr>
                  </w:pPr>
                  <w:r w:rsidRPr="00CF4A1F">
                    <w:rPr>
                      <w:b/>
                      <w:bCs/>
                      <w:sz w:val="20"/>
                      <w:szCs w:val="20"/>
                      <w:lang w:val="sr-Cyrl-CS"/>
                    </w:rPr>
                    <w:t>% раста БДП-а, реално</w:t>
                  </w:r>
                </w:p>
              </w:tc>
              <w:tc>
                <w:tcPr>
                  <w:tcW w:w="1078" w:type="dxa"/>
                  <w:tcBorders>
                    <w:left w:val="single" w:sz="4" w:space="0" w:color="000000"/>
                    <w:bottom w:val="single" w:sz="4" w:space="0" w:color="000000"/>
                  </w:tcBorders>
                </w:tcPr>
                <w:p w:rsidR="00D14979" w:rsidRPr="00EE4AFF" w:rsidRDefault="00D14979" w:rsidP="00B64D86">
                  <w:pPr>
                    <w:pStyle w:val="Caption"/>
                    <w:jc w:val="center"/>
                    <w:rPr>
                      <w:b/>
                      <w:bCs/>
                    </w:rPr>
                  </w:pPr>
                  <w:r w:rsidRPr="00EE4AFF">
                    <w:rPr>
                      <w:b/>
                      <w:bCs/>
                      <w:lang w:val="sr-Latn-BA"/>
                    </w:rPr>
                    <w:t>2,5</w:t>
                  </w:r>
                  <w:r w:rsidRPr="00EE4AFF">
                    <w:rPr>
                      <w:b/>
                      <w:bCs/>
                    </w:rPr>
                    <w:t>%</w:t>
                  </w:r>
                </w:p>
              </w:tc>
              <w:tc>
                <w:tcPr>
                  <w:tcW w:w="1078" w:type="dxa"/>
                  <w:tcBorders>
                    <w:left w:val="single" w:sz="4" w:space="0" w:color="000000"/>
                    <w:bottom w:val="single" w:sz="4" w:space="0" w:color="000000"/>
                  </w:tcBorders>
                </w:tcPr>
                <w:p w:rsidR="00D14979" w:rsidRPr="00CF4A1F" w:rsidRDefault="00D14979" w:rsidP="00B64D86">
                  <w:pPr>
                    <w:snapToGrid w:val="0"/>
                    <w:jc w:val="right"/>
                    <w:rPr>
                      <w:b/>
                      <w:bCs/>
                      <w:sz w:val="20"/>
                      <w:szCs w:val="20"/>
                    </w:rPr>
                  </w:pPr>
                  <w:r>
                    <w:rPr>
                      <w:b/>
                      <w:bCs/>
                      <w:sz w:val="20"/>
                      <w:szCs w:val="20"/>
                      <w:lang w:val="sr-Latn-BA"/>
                    </w:rPr>
                    <w:t>-2,8</w:t>
                  </w:r>
                  <w:r w:rsidRPr="00CF4A1F">
                    <w:rPr>
                      <w:b/>
                      <w:bCs/>
                      <w:sz w:val="20"/>
                      <w:szCs w:val="20"/>
                    </w:rPr>
                    <w:t>%</w:t>
                  </w:r>
                </w:p>
              </w:tc>
              <w:tc>
                <w:tcPr>
                  <w:tcW w:w="1078" w:type="dxa"/>
                  <w:tcBorders>
                    <w:left w:val="single" w:sz="4" w:space="0" w:color="000000"/>
                    <w:bottom w:val="single" w:sz="4" w:space="0" w:color="000000"/>
                    <w:right w:val="single" w:sz="4" w:space="0" w:color="000000"/>
                  </w:tcBorders>
                </w:tcPr>
                <w:p w:rsidR="00D14979" w:rsidRPr="00CF4A1F" w:rsidRDefault="00233125" w:rsidP="00B1223C">
                  <w:pPr>
                    <w:snapToGrid w:val="0"/>
                    <w:jc w:val="right"/>
                    <w:rPr>
                      <w:b/>
                      <w:bCs/>
                      <w:sz w:val="20"/>
                      <w:szCs w:val="20"/>
                    </w:rPr>
                  </w:pPr>
                  <w:r>
                    <w:rPr>
                      <w:b/>
                      <w:bCs/>
                      <w:sz w:val="20"/>
                      <w:szCs w:val="20"/>
                      <w:lang w:val="sr-Latn-BA"/>
                    </w:rPr>
                    <w:t>6,3%</w:t>
                  </w:r>
                </w:p>
              </w:tc>
              <w:tc>
                <w:tcPr>
                  <w:tcW w:w="850" w:type="dxa"/>
                  <w:tcBorders>
                    <w:left w:val="single" w:sz="4" w:space="0" w:color="000000"/>
                    <w:bottom w:val="single" w:sz="4" w:space="0" w:color="000000"/>
                    <w:right w:val="single" w:sz="4" w:space="0" w:color="000000"/>
                  </w:tcBorders>
                </w:tcPr>
                <w:p w:rsidR="00D14979" w:rsidRPr="00EE4AFF" w:rsidRDefault="00913A6D" w:rsidP="00E90AED">
                  <w:pPr>
                    <w:pStyle w:val="Caption"/>
                    <w:jc w:val="center"/>
                    <w:rPr>
                      <w:b/>
                      <w:bCs/>
                    </w:rPr>
                  </w:pPr>
                  <w:r>
                    <w:rPr>
                      <w:b/>
                      <w:bCs/>
                      <w:lang w:val="sr-Latn-BA"/>
                    </w:rPr>
                    <w:t>3,2</w:t>
                  </w:r>
                  <w:r w:rsidR="00D14979" w:rsidRPr="00EE4AFF">
                    <w:rPr>
                      <w:b/>
                      <w:bCs/>
                    </w:rPr>
                    <w:t>%</w:t>
                  </w:r>
                </w:p>
              </w:tc>
              <w:tc>
                <w:tcPr>
                  <w:tcW w:w="851" w:type="dxa"/>
                  <w:tcBorders>
                    <w:left w:val="single" w:sz="4" w:space="0" w:color="000000"/>
                    <w:bottom w:val="single" w:sz="4" w:space="0" w:color="000000"/>
                    <w:right w:val="single" w:sz="4" w:space="0" w:color="000000"/>
                  </w:tcBorders>
                </w:tcPr>
                <w:p w:rsidR="00D14979" w:rsidRPr="00CF4A1F" w:rsidRDefault="00EC6E04" w:rsidP="006807F0">
                  <w:pPr>
                    <w:snapToGrid w:val="0"/>
                    <w:jc w:val="right"/>
                    <w:rPr>
                      <w:b/>
                      <w:bCs/>
                      <w:sz w:val="20"/>
                      <w:szCs w:val="20"/>
                    </w:rPr>
                  </w:pPr>
                  <w:r>
                    <w:rPr>
                      <w:b/>
                      <w:bCs/>
                      <w:sz w:val="20"/>
                      <w:szCs w:val="20"/>
                      <w:lang w:val="sr-Latn-BA"/>
                    </w:rPr>
                    <w:t>3,1</w:t>
                  </w:r>
                  <w:r w:rsidR="00D14979" w:rsidRPr="00CF4A1F">
                    <w:rPr>
                      <w:b/>
                      <w:bCs/>
                      <w:sz w:val="20"/>
                      <w:szCs w:val="20"/>
                    </w:rPr>
                    <w:t>%</w:t>
                  </w:r>
                </w:p>
              </w:tc>
              <w:tc>
                <w:tcPr>
                  <w:tcW w:w="1134" w:type="dxa"/>
                  <w:tcBorders>
                    <w:left w:val="single" w:sz="4" w:space="0" w:color="000000"/>
                    <w:bottom w:val="single" w:sz="4" w:space="0" w:color="000000"/>
                  </w:tcBorders>
                  <w:shd w:val="clear" w:color="auto" w:fill="auto"/>
                </w:tcPr>
                <w:p w:rsidR="00D14979" w:rsidRPr="00CF4A1F" w:rsidRDefault="00E03443" w:rsidP="00A711F6">
                  <w:pPr>
                    <w:snapToGrid w:val="0"/>
                    <w:jc w:val="right"/>
                    <w:rPr>
                      <w:b/>
                      <w:bCs/>
                      <w:sz w:val="20"/>
                      <w:szCs w:val="20"/>
                    </w:rPr>
                  </w:pPr>
                  <w:r>
                    <w:rPr>
                      <w:b/>
                      <w:bCs/>
                      <w:sz w:val="20"/>
                      <w:szCs w:val="20"/>
                      <w:lang w:val="sr-Latn-BA"/>
                    </w:rPr>
                    <w:t>3,4</w:t>
                  </w:r>
                  <w:r w:rsidR="00D14979" w:rsidRPr="00CF4A1F">
                    <w:rPr>
                      <w:b/>
                      <w:bCs/>
                      <w:sz w:val="20"/>
                      <w:szCs w:val="20"/>
                    </w:rPr>
                    <w:t>%</w:t>
                  </w:r>
                </w:p>
              </w:tc>
            </w:tr>
            <w:tr w:rsidR="00D14979" w:rsidRPr="00CF4A1F" w:rsidTr="00D14979">
              <w:tc>
                <w:tcPr>
                  <w:tcW w:w="3170" w:type="dxa"/>
                  <w:tcBorders>
                    <w:left w:val="single" w:sz="4" w:space="0" w:color="000000"/>
                    <w:bottom w:val="single" w:sz="4" w:space="0" w:color="000000"/>
                  </w:tcBorders>
                  <w:shd w:val="clear" w:color="auto" w:fill="auto"/>
                </w:tcPr>
                <w:p w:rsidR="00D14979" w:rsidRPr="00CF4A1F" w:rsidRDefault="00D14979" w:rsidP="00A711F6">
                  <w:pPr>
                    <w:snapToGrid w:val="0"/>
                    <w:jc w:val="both"/>
                    <w:rPr>
                      <w:sz w:val="20"/>
                      <w:szCs w:val="20"/>
                      <w:lang w:val="sr-Cyrl-CS"/>
                    </w:rPr>
                  </w:pPr>
                  <w:r w:rsidRPr="00CF4A1F">
                    <w:rPr>
                      <w:sz w:val="20"/>
                      <w:szCs w:val="20"/>
                      <w:lang w:val="sr-Cyrl-CS"/>
                    </w:rPr>
                    <w:t>Инфлација – годишња стопа</w:t>
                  </w:r>
                </w:p>
              </w:tc>
              <w:tc>
                <w:tcPr>
                  <w:tcW w:w="1078" w:type="dxa"/>
                  <w:tcBorders>
                    <w:left w:val="single" w:sz="4" w:space="0" w:color="000000"/>
                    <w:bottom w:val="single" w:sz="4" w:space="0" w:color="000000"/>
                  </w:tcBorders>
                </w:tcPr>
                <w:p w:rsidR="00D14979" w:rsidRPr="00CF4A1F" w:rsidRDefault="00D14979" w:rsidP="00B64D86">
                  <w:pPr>
                    <w:pStyle w:val="Caption"/>
                    <w:jc w:val="center"/>
                  </w:pPr>
                  <w:r>
                    <w:rPr>
                      <w:lang w:val="sr-Latn-BA"/>
                    </w:rPr>
                    <w:t>0,5</w:t>
                  </w:r>
                  <w:r w:rsidRPr="00CF4A1F">
                    <w:t>%</w:t>
                  </w:r>
                </w:p>
              </w:tc>
              <w:tc>
                <w:tcPr>
                  <w:tcW w:w="1078" w:type="dxa"/>
                  <w:tcBorders>
                    <w:left w:val="single" w:sz="4" w:space="0" w:color="000000"/>
                    <w:bottom w:val="single" w:sz="4" w:space="0" w:color="000000"/>
                  </w:tcBorders>
                </w:tcPr>
                <w:p w:rsidR="00D14979" w:rsidRPr="00CF4A1F" w:rsidRDefault="00D14979" w:rsidP="00B64D86">
                  <w:pPr>
                    <w:snapToGrid w:val="0"/>
                    <w:jc w:val="right"/>
                    <w:rPr>
                      <w:sz w:val="20"/>
                      <w:szCs w:val="20"/>
                    </w:rPr>
                  </w:pPr>
                  <w:r>
                    <w:rPr>
                      <w:sz w:val="20"/>
                      <w:szCs w:val="20"/>
                      <w:lang w:val="sr-Latn-BA"/>
                    </w:rPr>
                    <w:t>-1,2</w:t>
                  </w:r>
                  <w:r w:rsidRPr="00CF4A1F">
                    <w:rPr>
                      <w:sz w:val="20"/>
                      <w:szCs w:val="20"/>
                    </w:rPr>
                    <w:t>%</w:t>
                  </w:r>
                </w:p>
              </w:tc>
              <w:tc>
                <w:tcPr>
                  <w:tcW w:w="1078" w:type="dxa"/>
                  <w:tcBorders>
                    <w:left w:val="single" w:sz="4" w:space="0" w:color="000000"/>
                    <w:bottom w:val="single" w:sz="4" w:space="0" w:color="000000"/>
                    <w:right w:val="single" w:sz="4" w:space="0" w:color="000000"/>
                  </w:tcBorders>
                </w:tcPr>
                <w:p w:rsidR="00D14979" w:rsidRPr="00CF4A1F" w:rsidRDefault="00913A6D" w:rsidP="00B1223C">
                  <w:pPr>
                    <w:snapToGrid w:val="0"/>
                    <w:jc w:val="right"/>
                    <w:rPr>
                      <w:sz w:val="20"/>
                      <w:szCs w:val="20"/>
                    </w:rPr>
                  </w:pPr>
                  <w:r>
                    <w:rPr>
                      <w:sz w:val="20"/>
                      <w:szCs w:val="20"/>
                      <w:lang w:val="sr-Latn-BA"/>
                    </w:rPr>
                    <w:t>1,7</w:t>
                  </w:r>
                  <w:r w:rsidR="00233125">
                    <w:rPr>
                      <w:sz w:val="20"/>
                      <w:szCs w:val="20"/>
                      <w:lang w:val="sr-Latn-BA"/>
                    </w:rPr>
                    <w:t>%</w:t>
                  </w:r>
                </w:p>
              </w:tc>
              <w:tc>
                <w:tcPr>
                  <w:tcW w:w="850" w:type="dxa"/>
                  <w:tcBorders>
                    <w:left w:val="single" w:sz="4" w:space="0" w:color="000000"/>
                    <w:bottom w:val="single" w:sz="4" w:space="0" w:color="000000"/>
                    <w:right w:val="single" w:sz="4" w:space="0" w:color="000000"/>
                  </w:tcBorders>
                </w:tcPr>
                <w:p w:rsidR="00D14979" w:rsidRPr="00CF4A1F" w:rsidRDefault="00913A6D" w:rsidP="00E90AED">
                  <w:pPr>
                    <w:pStyle w:val="Caption"/>
                    <w:jc w:val="center"/>
                  </w:pPr>
                  <w:r>
                    <w:rPr>
                      <w:lang w:val="sr-Latn-BA"/>
                    </w:rPr>
                    <w:t>9,5</w:t>
                  </w:r>
                  <w:r w:rsidR="00D14979" w:rsidRPr="00CF4A1F">
                    <w:t>%</w:t>
                  </w:r>
                </w:p>
              </w:tc>
              <w:tc>
                <w:tcPr>
                  <w:tcW w:w="851" w:type="dxa"/>
                  <w:tcBorders>
                    <w:left w:val="single" w:sz="4" w:space="0" w:color="000000"/>
                    <w:bottom w:val="single" w:sz="4" w:space="0" w:color="000000"/>
                    <w:right w:val="single" w:sz="4" w:space="0" w:color="000000"/>
                  </w:tcBorders>
                </w:tcPr>
                <w:p w:rsidR="00D14979" w:rsidRPr="00CF4A1F" w:rsidRDefault="00EC6E04" w:rsidP="006807F0">
                  <w:pPr>
                    <w:snapToGrid w:val="0"/>
                    <w:jc w:val="right"/>
                    <w:rPr>
                      <w:sz w:val="20"/>
                      <w:szCs w:val="20"/>
                    </w:rPr>
                  </w:pPr>
                  <w:r>
                    <w:rPr>
                      <w:sz w:val="20"/>
                      <w:szCs w:val="20"/>
                      <w:lang w:val="sr-Latn-BA"/>
                    </w:rPr>
                    <w:t>2,9</w:t>
                  </w:r>
                  <w:r w:rsidR="00D14979" w:rsidRPr="00CF4A1F">
                    <w:rPr>
                      <w:sz w:val="20"/>
                      <w:szCs w:val="20"/>
                    </w:rPr>
                    <w:t>%</w:t>
                  </w:r>
                </w:p>
              </w:tc>
              <w:tc>
                <w:tcPr>
                  <w:tcW w:w="1134" w:type="dxa"/>
                  <w:tcBorders>
                    <w:left w:val="single" w:sz="4" w:space="0" w:color="000000"/>
                    <w:bottom w:val="single" w:sz="4" w:space="0" w:color="000000"/>
                  </w:tcBorders>
                  <w:shd w:val="clear" w:color="auto" w:fill="auto"/>
                </w:tcPr>
                <w:p w:rsidR="00D14979" w:rsidRPr="00CF4A1F" w:rsidRDefault="00D14979" w:rsidP="00A711F6">
                  <w:pPr>
                    <w:snapToGrid w:val="0"/>
                    <w:jc w:val="right"/>
                    <w:rPr>
                      <w:sz w:val="20"/>
                      <w:szCs w:val="20"/>
                    </w:rPr>
                  </w:pPr>
                  <w:r>
                    <w:rPr>
                      <w:sz w:val="20"/>
                      <w:szCs w:val="20"/>
                    </w:rPr>
                    <w:t>1,</w:t>
                  </w:r>
                  <w:r w:rsidR="00E03443">
                    <w:rPr>
                      <w:sz w:val="20"/>
                      <w:szCs w:val="20"/>
                    </w:rPr>
                    <w:t>9</w:t>
                  </w:r>
                  <w:r w:rsidRPr="00CF4A1F">
                    <w:rPr>
                      <w:sz w:val="20"/>
                      <w:szCs w:val="20"/>
                    </w:rPr>
                    <w:t>%</w:t>
                  </w:r>
                </w:p>
              </w:tc>
            </w:tr>
            <w:tr w:rsidR="00D14979" w:rsidRPr="00CF4A1F" w:rsidTr="00D14979">
              <w:tc>
                <w:tcPr>
                  <w:tcW w:w="3170" w:type="dxa"/>
                  <w:tcBorders>
                    <w:left w:val="single" w:sz="4" w:space="0" w:color="000000"/>
                    <w:bottom w:val="single" w:sz="4" w:space="0" w:color="000000"/>
                  </w:tcBorders>
                  <w:shd w:val="clear" w:color="auto" w:fill="auto"/>
                </w:tcPr>
                <w:p w:rsidR="00D14979" w:rsidRPr="00CF4A1F" w:rsidRDefault="00D14979" w:rsidP="00A711F6">
                  <w:pPr>
                    <w:snapToGrid w:val="0"/>
                    <w:jc w:val="both"/>
                    <w:rPr>
                      <w:sz w:val="20"/>
                      <w:szCs w:val="20"/>
                      <w:lang w:val="sr-Cyrl-CS"/>
                    </w:rPr>
                  </w:pPr>
                  <w:r w:rsidRPr="00CF4A1F">
                    <w:rPr>
                      <w:sz w:val="20"/>
                      <w:szCs w:val="20"/>
                      <w:lang w:val="sr-Cyrl-CS"/>
                    </w:rPr>
                    <w:t>Просјечне нето плате у КМ</w:t>
                  </w:r>
                </w:p>
              </w:tc>
              <w:tc>
                <w:tcPr>
                  <w:tcW w:w="1078" w:type="dxa"/>
                  <w:tcBorders>
                    <w:left w:val="single" w:sz="4" w:space="0" w:color="000000"/>
                    <w:bottom w:val="single" w:sz="4" w:space="0" w:color="000000"/>
                  </w:tcBorders>
                </w:tcPr>
                <w:p w:rsidR="00D14979" w:rsidRPr="002C453F" w:rsidRDefault="00D14979" w:rsidP="00B64D86">
                  <w:pPr>
                    <w:pStyle w:val="Caption"/>
                    <w:jc w:val="center"/>
                    <w:rPr>
                      <w:lang w:val="sr-Latn-BA"/>
                    </w:rPr>
                  </w:pPr>
                  <w:r>
                    <w:t>906</w:t>
                  </w:r>
                </w:p>
              </w:tc>
              <w:tc>
                <w:tcPr>
                  <w:tcW w:w="1078" w:type="dxa"/>
                  <w:tcBorders>
                    <w:left w:val="single" w:sz="4" w:space="0" w:color="000000"/>
                    <w:bottom w:val="single" w:sz="4" w:space="0" w:color="000000"/>
                  </w:tcBorders>
                </w:tcPr>
                <w:p w:rsidR="00D14979" w:rsidRPr="002C453F" w:rsidRDefault="00D14979" w:rsidP="00B64D86">
                  <w:pPr>
                    <w:snapToGrid w:val="0"/>
                    <w:jc w:val="right"/>
                    <w:rPr>
                      <w:sz w:val="20"/>
                      <w:szCs w:val="20"/>
                      <w:lang w:val="sr-Latn-BA"/>
                    </w:rPr>
                  </w:pPr>
                  <w:r>
                    <w:rPr>
                      <w:sz w:val="20"/>
                      <w:szCs w:val="20"/>
                    </w:rPr>
                    <w:t>956</w:t>
                  </w:r>
                </w:p>
              </w:tc>
              <w:tc>
                <w:tcPr>
                  <w:tcW w:w="1078" w:type="dxa"/>
                  <w:tcBorders>
                    <w:left w:val="single" w:sz="4" w:space="0" w:color="000000"/>
                    <w:bottom w:val="single" w:sz="4" w:space="0" w:color="000000"/>
                    <w:right w:val="single" w:sz="4" w:space="0" w:color="000000"/>
                  </w:tcBorders>
                </w:tcPr>
                <w:p w:rsidR="00D14979" w:rsidRPr="0053035D" w:rsidRDefault="00D14979" w:rsidP="00B1223C">
                  <w:pPr>
                    <w:snapToGrid w:val="0"/>
                    <w:jc w:val="right"/>
                    <w:rPr>
                      <w:sz w:val="20"/>
                      <w:szCs w:val="20"/>
                      <w:lang w:val="sr-Latn-BA"/>
                    </w:rPr>
                  </w:pPr>
                  <w:r>
                    <w:rPr>
                      <w:sz w:val="20"/>
                      <w:szCs w:val="20"/>
                    </w:rPr>
                    <w:t>100</w:t>
                  </w:r>
                  <w:r w:rsidR="00233125">
                    <w:rPr>
                      <w:sz w:val="20"/>
                      <w:szCs w:val="20"/>
                    </w:rPr>
                    <w:t>4</w:t>
                  </w:r>
                </w:p>
              </w:tc>
              <w:tc>
                <w:tcPr>
                  <w:tcW w:w="850" w:type="dxa"/>
                  <w:tcBorders>
                    <w:left w:val="single" w:sz="4" w:space="0" w:color="000000"/>
                    <w:bottom w:val="single" w:sz="4" w:space="0" w:color="000000"/>
                    <w:right w:val="single" w:sz="4" w:space="0" w:color="000000"/>
                  </w:tcBorders>
                </w:tcPr>
                <w:p w:rsidR="00D14979" w:rsidRPr="002C453F" w:rsidRDefault="00913A6D" w:rsidP="00E90AED">
                  <w:pPr>
                    <w:pStyle w:val="Caption"/>
                    <w:jc w:val="center"/>
                    <w:rPr>
                      <w:lang w:val="sr-Latn-BA"/>
                    </w:rPr>
                  </w:pPr>
                  <w:r>
                    <w:t>1121</w:t>
                  </w:r>
                </w:p>
              </w:tc>
              <w:tc>
                <w:tcPr>
                  <w:tcW w:w="851" w:type="dxa"/>
                  <w:tcBorders>
                    <w:left w:val="single" w:sz="4" w:space="0" w:color="000000"/>
                    <w:bottom w:val="single" w:sz="4" w:space="0" w:color="000000"/>
                    <w:right w:val="single" w:sz="4" w:space="0" w:color="000000"/>
                  </w:tcBorders>
                </w:tcPr>
                <w:p w:rsidR="00D14979" w:rsidRPr="002C453F" w:rsidRDefault="00D14979" w:rsidP="006807F0">
                  <w:pPr>
                    <w:snapToGrid w:val="0"/>
                    <w:jc w:val="right"/>
                    <w:rPr>
                      <w:sz w:val="20"/>
                      <w:szCs w:val="20"/>
                      <w:lang w:val="sr-Latn-BA"/>
                    </w:rPr>
                  </w:pPr>
                  <w:r>
                    <w:rPr>
                      <w:sz w:val="20"/>
                      <w:szCs w:val="20"/>
                    </w:rPr>
                    <w:t>1</w:t>
                  </w:r>
                  <w:r w:rsidR="00EC6E04">
                    <w:rPr>
                      <w:sz w:val="20"/>
                      <w:szCs w:val="20"/>
                    </w:rPr>
                    <w:t>155</w:t>
                  </w:r>
                </w:p>
              </w:tc>
              <w:tc>
                <w:tcPr>
                  <w:tcW w:w="1134" w:type="dxa"/>
                  <w:tcBorders>
                    <w:left w:val="single" w:sz="4" w:space="0" w:color="000000"/>
                    <w:bottom w:val="single" w:sz="4" w:space="0" w:color="000000"/>
                  </w:tcBorders>
                  <w:shd w:val="clear" w:color="auto" w:fill="auto"/>
                </w:tcPr>
                <w:p w:rsidR="00D14979" w:rsidRPr="0053035D" w:rsidRDefault="00BC1178" w:rsidP="00A711F6">
                  <w:pPr>
                    <w:snapToGrid w:val="0"/>
                    <w:jc w:val="right"/>
                    <w:rPr>
                      <w:sz w:val="20"/>
                      <w:szCs w:val="20"/>
                      <w:lang w:val="sr-Latn-BA"/>
                    </w:rPr>
                  </w:pPr>
                  <w:r>
                    <w:rPr>
                      <w:sz w:val="20"/>
                      <w:szCs w:val="20"/>
                    </w:rPr>
                    <w:t>1</w:t>
                  </w:r>
                  <w:r w:rsidR="00E03443">
                    <w:rPr>
                      <w:sz w:val="20"/>
                      <w:szCs w:val="20"/>
                    </w:rPr>
                    <w:t>236</w:t>
                  </w:r>
                </w:p>
              </w:tc>
            </w:tr>
            <w:tr w:rsidR="00D14979" w:rsidRPr="00CF4A1F" w:rsidTr="00D14979">
              <w:trPr>
                <w:trHeight w:val="329"/>
              </w:trPr>
              <w:tc>
                <w:tcPr>
                  <w:tcW w:w="3170" w:type="dxa"/>
                  <w:tcBorders>
                    <w:left w:val="single" w:sz="4" w:space="0" w:color="000000"/>
                    <w:bottom w:val="single" w:sz="4" w:space="0" w:color="000000"/>
                  </w:tcBorders>
                  <w:shd w:val="clear" w:color="auto" w:fill="auto"/>
                </w:tcPr>
                <w:p w:rsidR="00D14979" w:rsidRPr="00CF4A1F" w:rsidRDefault="00D14979" w:rsidP="00A711F6">
                  <w:pPr>
                    <w:snapToGrid w:val="0"/>
                    <w:jc w:val="both"/>
                    <w:rPr>
                      <w:sz w:val="20"/>
                      <w:szCs w:val="20"/>
                      <w:lang w:val="sr-Cyrl-CS"/>
                    </w:rPr>
                  </w:pPr>
                  <w:r w:rsidRPr="00CF4A1F">
                    <w:rPr>
                      <w:sz w:val="20"/>
                      <w:szCs w:val="20"/>
                      <w:lang w:val="sr-Cyrl-CS"/>
                    </w:rPr>
                    <w:t>Стопа незапослености</w:t>
                  </w:r>
                </w:p>
              </w:tc>
              <w:tc>
                <w:tcPr>
                  <w:tcW w:w="1078" w:type="dxa"/>
                  <w:tcBorders>
                    <w:left w:val="single" w:sz="4" w:space="0" w:color="000000"/>
                    <w:bottom w:val="single" w:sz="4" w:space="0" w:color="000000"/>
                  </w:tcBorders>
                </w:tcPr>
                <w:p w:rsidR="00D14979" w:rsidRPr="00CF4A1F" w:rsidRDefault="00D14979" w:rsidP="00B64D86">
                  <w:pPr>
                    <w:pStyle w:val="Caption"/>
                    <w:jc w:val="center"/>
                  </w:pPr>
                  <w:r>
                    <w:t>11,7</w:t>
                  </w:r>
                  <w:r w:rsidRPr="00CF4A1F">
                    <w:t>%</w:t>
                  </w:r>
                </w:p>
              </w:tc>
              <w:tc>
                <w:tcPr>
                  <w:tcW w:w="1078" w:type="dxa"/>
                  <w:tcBorders>
                    <w:left w:val="single" w:sz="4" w:space="0" w:color="000000"/>
                    <w:bottom w:val="single" w:sz="4" w:space="0" w:color="000000"/>
                  </w:tcBorders>
                </w:tcPr>
                <w:p w:rsidR="00D14979" w:rsidRPr="00CF4A1F" w:rsidRDefault="00D14979" w:rsidP="00B64D86">
                  <w:pPr>
                    <w:snapToGrid w:val="0"/>
                    <w:jc w:val="right"/>
                    <w:rPr>
                      <w:sz w:val="20"/>
                      <w:szCs w:val="20"/>
                    </w:rPr>
                  </w:pPr>
                  <w:r>
                    <w:rPr>
                      <w:sz w:val="20"/>
                      <w:szCs w:val="20"/>
                    </w:rPr>
                    <w:t>12,9</w:t>
                  </w:r>
                  <w:r w:rsidRPr="00CF4A1F">
                    <w:rPr>
                      <w:sz w:val="20"/>
                      <w:szCs w:val="20"/>
                    </w:rPr>
                    <w:t>%</w:t>
                  </w:r>
                </w:p>
              </w:tc>
              <w:tc>
                <w:tcPr>
                  <w:tcW w:w="1078" w:type="dxa"/>
                  <w:tcBorders>
                    <w:left w:val="single" w:sz="4" w:space="0" w:color="000000"/>
                    <w:bottom w:val="single" w:sz="4" w:space="0" w:color="000000"/>
                    <w:right w:val="single" w:sz="4" w:space="0" w:color="000000"/>
                  </w:tcBorders>
                </w:tcPr>
                <w:p w:rsidR="00D14979" w:rsidRPr="00CF4A1F" w:rsidRDefault="00D14979" w:rsidP="0053035D">
                  <w:pPr>
                    <w:snapToGrid w:val="0"/>
                    <w:jc w:val="right"/>
                    <w:rPr>
                      <w:sz w:val="20"/>
                      <w:szCs w:val="20"/>
                    </w:rPr>
                  </w:pPr>
                  <w:r>
                    <w:rPr>
                      <w:sz w:val="20"/>
                      <w:szCs w:val="20"/>
                    </w:rPr>
                    <w:t>1</w:t>
                  </w:r>
                  <w:r w:rsidR="00233125">
                    <w:rPr>
                      <w:sz w:val="20"/>
                      <w:szCs w:val="20"/>
                    </w:rPr>
                    <w:t>4</w:t>
                  </w:r>
                  <w:r w:rsidR="00913A6D">
                    <w:rPr>
                      <w:sz w:val="20"/>
                      <w:szCs w:val="20"/>
                    </w:rPr>
                    <w:t>%</w:t>
                  </w:r>
                </w:p>
              </w:tc>
              <w:tc>
                <w:tcPr>
                  <w:tcW w:w="850" w:type="dxa"/>
                  <w:tcBorders>
                    <w:left w:val="single" w:sz="4" w:space="0" w:color="000000"/>
                    <w:bottom w:val="single" w:sz="4" w:space="0" w:color="000000"/>
                    <w:right w:val="single" w:sz="4" w:space="0" w:color="000000"/>
                  </w:tcBorders>
                </w:tcPr>
                <w:p w:rsidR="00D14979" w:rsidRPr="00CF4A1F" w:rsidRDefault="00D14979" w:rsidP="00913A6D">
                  <w:pPr>
                    <w:pStyle w:val="Caption"/>
                    <w:jc w:val="center"/>
                  </w:pPr>
                  <w:r>
                    <w:t>1</w:t>
                  </w:r>
                  <w:r w:rsidR="00913A6D">
                    <w:t>3</w:t>
                  </w:r>
                  <w:r>
                    <w:t>,4</w:t>
                  </w:r>
                  <w:r w:rsidRPr="00CF4A1F">
                    <w:t>%</w:t>
                  </w:r>
                </w:p>
              </w:tc>
              <w:tc>
                <w:tcPr>
                  <w:tcW w:w="851" w:type="dxa"/>
                  <w:tcBorders>
                    <w:left w:val="single" w:sz="4" w:space="0" w:color="000000"/>
                    <w:bottom w:val="single" w:sz="4" w:space="0" w:color="000000"/>
                    <w:right w:val="single" w:sz="4" w:space="0" w:color="000000"/>
                  </w:tcBorders>
                </w:tcPr>
                <w:p w:rsidR="00D14979" w:rsidRPr="00CF4A1F" w:rsidRDefault="00EC6E04" w:rsidP="006807F0">
                  <w:pPr>
                    <w:snapToGrid w:val="0"/>
                    <w:jc w:val="right"/>
                    <w:rPr>
                      <w:sz w:val="20"/>
                      <w:szCs w:val="20"/>
                    </w:rPr>
                  </w:pPr>
                  <w:r>
                    <w:rPr>
                      <w:sz w:val="20"/>
                      <w:szCs w:val="20"/>
                    </w:rPr>
                    <w:t>12,7%</w:t>
                  </w:r>
                </w:p>
              </w:tc>
              <w:tc>
                <w:tcPr>
                  <w:tcW w:w="1134" w:type="dxa"/>
                  <w:tcBorders>
                    <w:left w:val="single" w:sz="4" w:space="0" w:color="000000"/>
                    <w:bottom w:val="single" w:sz="4" w:space="0" w:color="000000"/>
                  </w:tcBorders>
                  <w:shd w:val="clear" w:color="auto" w:fill="auto"/>
                </w:tcPr>
                <w:p w:rsidR="00D14979" w:rsidRPr="00CF4A1F" w:rsidRDefault="00E03443" w:rsidP="005246E9">
                  <w:pPr>
                    <w:snapToGrid w:val="0"/>
                    <w:jc w:val="center"/>
                    <w:rPr>
                      <w:sz w:val="20"/>
                      <w:szCs w:val="20"/>
                    </w:rPr>
                  </w:pPr>
                  <w:r>
                    <w:rPr>
                      <w:sz w:val="20"/>
                      <w:szCs w:val="20"/>
                    </w:rPr>
                    <w:t>11,7</w:t>
                  </w:r>
                  <w:r w:rsidR="00BC1178">
                    <w:rPr>
                      <w:sz w:val="20"/>
                      <w:szCs w:val="20"/>
                    </w:rPr>
                    <w:t>%</w:t>
                  </w:r>
                </w:p>
              </w:tc>
            </w:tr>
            <w:tr w:rsidR="00D14979" w:rsidRPr="00CF4A1F" w:rsidTr="00D14979">
              <w:trPr>
                <w:trHeight w:val="646"/>
              </w:trPr>
              <w:tc>
                <w:tcPr>
                  <w:tcW w:w="3170" w:type="dxa"/>
                  <w:tcBorders>
                    <w:left w:val="single" w:sz="4" w:space="0" w:color="000000"/>
                    <w:bottom w:val="single" w:sz="4" w:space="0" w:color="000000"/>
                  </w:tcBorders>
                  <w:shd w:val="clear" w:color="auto" w:fill="auto"/>
                </w:tcPr>
                <w:p w:rsidR="00D14979" w:rsidRPr="00CF4A1F" w:rsidRDefault="00D14979" w:rsidP="00A711F6">
                  <w:pPr>
                    <w:snapToGrid w:val="0"/>
                    <w:jc w:val="both"/>
                    <w:rPr>
                      <w:sz w:val="20"/>
                      <w:szCs w:val="20"/>
                      <w:lang w:val="sr-Cyrl-CS"/>
                    </w:rPr>
                  </w:pPr>
                  <w:r w:rsidRPr="00CF4A1F">
                    <w:rPr>
                      <w:sz w:val="20"/>
                      <w:szCs w:val="20"/>
                      <w:lang w:val="sr-Cyrl-CS"/>
                    </w:rPr>
                    <w:t>Раст увоза у %</w:t>
                  </w:r>
                </w:p>
              </w:tc>
              <w:tc>
                <w:tcPr>
                  <w:tcW w:w="1078" w:type="dxa"/>
                  <w:tcBorders>
                    <w:left w:val="single" w:sz="4" w:space="0" w:color="000000"/>
                    <w:bottom w:val="single" w:sz="4" w:space="0" w:color="000000"/>
                  </w:tcBorders>
                </w:tcPr>
                <w:p w:rsidR="00D14979" w:rsidRPr="00CF4A1F" w:rsidRDefault="00D14979" w:rsidP="00B64D86">
                  <w:pPr>
                    <w:pStyle w:val="Caption"/>
                    <w:jc w:val="center"/>
                  </w:pPr>
                  <w:r>
                    <w:rPr>
                      <w:lang w:val="sr-Latn-BA"/>
                    </w:rPr>
                    <w:t>-8,5</w:t>
                  </w:r>
                  <w:r w:rsidRPr="00CF4A1F">
                    <w:t>%</w:t>
                  </w:r>
                </w:p>
              </w:tc>
              <w:tc>
                <w:tcPr>
                  <w:tcW w:w="1078" w:type="dxa"/>
                  <w:tcBorders>
                    <w:left w:val="single" w:sz="4" w:space="0" w:color="000000"/>
                    <w:bottom w:val="single" w:sz="4" w:space="0" w:color="000000"/>
                  </w:tcBorders>
                </w:tcPr>
                <w:p w:rsidR="00D14979" w:rsidRPr="00900E29" w:rsidRDefault="00D14979" w:rsidP="00B64D86">
                  <w:pPr>
                    <w:snapToGrid w:val="0"/>
                    <w:jc w:val="right"/>
                    <w:rPr>
                      <w:sz w:val="20"/>
                      <w:szCs w:val="20"/>
                      <w:lang w:val="sr-Latn-BA"/>
                    </w:rPr>
                  </w:pPr>
                  <w:r>
                    <w:rPr>
                      <w:sz w:val="20"/>
                      <w:szCs w:val="20"/>
                      <w:lang w:val="sr-Latn-BA"/>
                    </w:rPr>
                    <w:t>-7,9%</w:t>
                  </w:r>
                </w:p>
              </w:tc>
              <w:tc>
                <w:tcPr>
                  <w:tcW w:w="1078" w:type="dxa"/>
                  <w:tcBorders>
                    <w:left w:val="single" w:sz="4" w:space="0" w:color="000000"/>
                    <w:bottom w:val="single" w:sz="4" w:space="0" w:color="000000"/>
                    <w:right w:val="single" w:sz="4" w:space="0" w:color="000000"/>
                  </w:tcBorders>
                </w:tcPr>
                <w:p w:rsidR="00D14979" w:rsidRPr="00CF4A1F" w:rsidRDefault="00913A6D" w:rsidP="00B1223C">
                  <w:pPr>
                    <w:snapToGrid w:val="0"/>
                    <w:jc w:val="right"/>
                    <w:rPr>
                      <w:sz w:val="20"/>
                      <w:szCs w:val="20"/>
                    </w:rPr>
                  </w:pPr>
                  <w:r>
                    <w:rPr>
                      <w:sz w:val="20"/>
                      <w:szCs w:val="20"/>
                      <w:lang w:val="sr-Latn-BA"/>
                    </w:rPr>
                    <w:t>13,3</w:t>
                  </w:r>
                  <w:r w:rsidR="00D14979" w:rsidRPr="00CF4A1F">
                    <w:rPr>
                      <w:sz w:val="20"/>
                      <w:szCs w:val="20"/>
                    </w:rPr>
                    <w:t>%</w:t>
                  </w:r>
                </w:p>
              </w:tc>
              <w:tc>
                <w:tcPr>
                  <w:tcW w:w="850" w:type="dxa"/>
                  <w:tcBorders>
                    <w:left w:val="single" w:sz="4" w:space="0" w:color="000000"/>
                    <w:bottom w:val="single" w:sz="4" w:space="0" w:color="000000"/>
                    <w:right w:val="single" w:sz="4" w:space="0" w:color="000000"/>
                  </w:tcBorders>
                </w:tcPr>
                <w:p w:rsidR="00D14979" w:rsidRPr="00CF4A1F" w:rsidRDefault="00913A6D" w:rsidP="00E90AED">
                  <w:pPr>
                    <w:pStyle w:val="Caption"/>
                    <w:jc w:val="center"/>
                  </w:pPr>
                  <w:r>
                    <w:rPr>
                      <w:lang w:val="sr-Latn-BA"/>
                    </w:rPr>
                    <w:t>23,6</w:t>
                  </w:r>
                  <w:r w:rsidR="00D14979" w:rsidRPr="00CF4A1F">
                    <w:t>%</w:t>
                  </w:r>
                </w:p>
              </w:tc>
              <w:tc>
                <w:tcPr>
                  <w:tcW w:w="851" w:type="dxa"/>
                  <w:tcBorders>
                    <w:left w:val="single" w:sz="4" w:space="0" w:color="000000"/>
                    <w:bottom w:val="single" w:sz="4" w:space="0" w:color="000000"/>
                    <w:right w:val="single" w:sz="4" w:space="0" w:color="000000"/>
                  </w:tcBorders>
                </w:tcPr>
                <w:p w:rsidR="00D14979" w:rsidRPr="00900E29" w:rsidRDefault="00EC6E04" w:rsidP="006807F0">
                  <w:pPr>
                    <w:snapToGrid w:val="0"/>
                    <w:jc w:val="right"/>
                    <w:rPr>
                      <w:sz w:val="20"/>
                      <w:szCs w:val="20"/>
                      <w:lang w:val="sr-Latn-BA"/>
                    </w:rPr>
                  </w:pPr>
                  <w:r>
                    <w:rPr>
                      <w:sz w:val="20"/>
                      <w:szCs w:val="20"/>
                      <w:lang w:val="sr-Latn-BA"/>
                    </w:rPr>
                    <w:t>5,5</w:t>
                  </w:r>
                  <w:r w:rsidR="00D14979">
                    <w:rPr>
                      <w:sz w:val="20"/>
                      <w:szCs w:val="20"/>
                      <w:lang w:val="sr-Latn-BA"/>
                    </w:rPr>
                    <w:t>%</w:t>
                  </w:r>
                </w:p>
              </w:tc>
              <w:tc>
                <w:tcPr>
                  <w:tcW w:w="1134" w:type="dxa"/>
                  <w:tcBorders>
                    <w:left w:val="single" w:sz="4" w:space="0" w:color="000000"/>
                    <w:bottom w:val="single" w:sz="4" w:space="0" w:color="000000"/>
                  </w:tcBorders>
                  <w:shd w:val="clear" w:color="auto" w:fill="auto"/>
                </w:tcPr>
                <w:p w:rsidR="00D14979" w:rsidRPr="00CF4A1F" w:rsidRDefault="00E03443" w:rsidP="00A711F6">
                  <w:pPr>
                    <w:snapToGrid w:val="0"/>
                    <w:jc w:val="right"/>
                    <w:rPr>
                      <w:sz w:val="20"/>
                      <w:szCs w:val="20"/>
                    </w:rPr>
                  </w:pPr>
                  <w:r>
                    <w:rPr>
                      <w:sz w:val="20"/>
                      <w:szCs w:val="20"/>
                      <w:lang w:val="sr-Latn-BA"/>
                    </w:rPr>
                    <w:t>4,7</w:t>
                  </w:r>
                  <w:r w:rsidR="00D14979" w:rsidRPr="00CF4A1F">
                    <w:rPr>
                      <w:sz w:val="20"/>
                      <w:szCs w:val="20"/>
                    </w:rPr>
                    <w:t>%</w:t>
                  </w:r>
                </w:p>
              </w:tc>
            </w:tr>
            <w:tr w:rsidR="00D14979" w:rsidRPr="00CF4A1F" w:rsidTr="00D14979">
              <w:tc>
                <w:tcPr>
                  <w:tcW w:w="3170" w:type="dxa"/>
                  <w:tcBorders>
                    <w:left w:val="single" w:sz="4" w:space="0" w:color="000000"/>
                    <w:bottom w:val="single" w:sz="4" w:space="0" w:color="000000"/>
                  </w:tcBorders>
                  <w:shd w:val="clear" w:color="auto" w:fill="auto"/>
                </w:tcPr>
                <w:p w:rsidR="00D14979" w:rsidRPr="00CF4A1F" w:rsidRDefault="00D14979" w:rsidP="00A711F6">
                  <w:pPr>
                    <w:snapToGrid w:val="0"/>
                    <w:jc w:val="both"/>
                    <w:rPr>
                      <w:sz w:val="20"/>
                      <w:szCs w:val="20"/>
                      <w:lang w:val="sr-Cyrl-CS"/>
                    </w:rPr>
                  </w:pPr>
                  <w:r w:rsidRPr="00CF4A1F">
                    <w:rPr>
                      <w:sz w:val="20"/>
                      <w:szCs w:val="20"/>
                      <w:lang w:val="sr-Cyrl-CS"/>
                    </w:rPr>
                    <w:t>Раст извоза у %</w:t>
                  </w:r>
                </w:p>
              </w:tc>
              <w:tc>
                <w:tcPr>
                  <w:tcW w:w="1078" w:type="dxa"/>
                  <w:tcBorders>
                    <w:left w:val="single" w:sz="4" w:space="0" w:color="000000"/>
                    <w:bottom w:val="single" w:sz="4" w:space="0" w:color="000000"/>
                  </w:tcBorders>
                </w:tcPr>
                <w:p w:rsidR="00D14979" w:rsidRPr="00CF4A1F" w:rsidRDefault="00D14979" w:rsidP="00B64D86">
                  <w:pPr>
                    <w:pStyle w:val="Caption"/>
                    <w:jc w:val="center"/>
                  </w:pPr>
                  <w:r>
                    <w:rPr>
                      <w:lang w:val="sr-Latn-BA"/>
                    </w:rPr>
                    <w:t>-3,8</w:t>
                  </w:r>
                  <w:r w:rsidRPr="00CF4A1F">
                    <w:t>%</w:t>
                  </w:r>
                </w:p>
              </w:tc>
              <w:tc>
                <w:tcPr>
                  <w:tcW w:w="1078" w:type="dxa"/>
                  <w:tcBorders>
                    <w:left w:val="single" w:sz="4" w:space="0" w:color="000000"/>
                    <w:bottom w:val="single" w:sz="4" w:space="0" w:color="000000"/>
                  </w:tcBorders>
                </w:tcPr>
                <w:p w:rsidR="00D14979" w:rsidRPr="00CF4A1F" w:rsidRDefault="00D14979" w:rsidP="00B64D86">
                  <w:pPr>
                    <w:snapToGrid w:val="0"/>
                    <w:jc w:val="right"/>
                    <w:rPr>
                      <w:sz w:val="20"/>
                      <w:szCs w:val="20"/>
                    </w:rPr>
                  </w:pPr>
                  <w:r>
                    <w:rPr>
                      <w:sz w:val="20"/>
                      <w:szCs w:val="20"/>
                      <w:lang w:val="sr-Latn-BA"/>
                    </w:rPr>
                    <w:t>-8,4</w:t>
                  </w:r>
                  <w:r w:rsidRPr="00CF4A1F">
                    <w:rPr>
                      <w:sz w:val="20"/>
                      <w:szCs w:val="20"/>
                    </w:rPr>
                    <w:t>%</w:t>
                  </w:r>
                </w:p>
              </w:tc>
              <w:tc>
                <w:tcPr>
                  <w:tcW w:w="1078" w:type="dxa"/>
                  <w:tcBorders>
                    <w:left w:val="single" w:sz="4" w:space="0" w:color="000000"/>
                    <w:bottom w:val="single" w:sz="4" w:space="0" w:color="000000"/>
                    <w:right w:val="single" w:sz="4" w:space="0" w:color="000000"/>
                  </w:tcBorders>
                </w:tcPr>
                <w:p w:rsidR="00D14979" w:rsidRPr="00CF4A1F" w:rsidRDefault="00913A6D" w:rsidP="00B1223C">
                  <w:pPr>
                    <w:snapToGrid w:val="0"/>
                    <w:jc w:val="right"/>
                    <w:rPr>
                      <w:sz w:val="20"/>
                      <w:szCs w:val="20"/>
                    </w:rPr>
                  </w:pPr>
                  <w:r>
                    <w:rPr>
                      <w:sz w:val="20"/>
                      <w:szCs w:val="20"/>
                      <w:lang w:val="sr-Latn-BA"/>
                    </w:rPr>
                    <w:t>19</w:t>
                  </w:r>
                  <w:r w:rsidR="00D14979">
                    <w:rPr>
                      <w:sz w:val="20"/>
                      <w:szCs w:val="20"/>
                      <w:lang w:val="sr-Latn-BA"/>
                    </w:rPr>
                    <w:t>,0</w:t>
                  </w:r>
                  <w:r w:rsidR="00D14979" w:rsidRPr="00CF4A1F">
                    <w:rPr>
                      <w:sz w:val="20"/>
                      <w:szCs w:val="20"/>
                    </w:rPr>
                    <w:t>%</w:t>
                  </w:r>
                </w:p>
              </w:tc>
              <w:tc>
                <w:tcPr>
                  <w:tcW w:w="850" w:type="dxa"/>
                  <w:tcBorders>
                    <w:left w:val="single" w:sz="4" w:space="0" w:color="000000"/>
                    <w:bottom w:val="single" w:sz="4" w:space="0" w:color="000000"/>
                    <w:right w:val="single" w:sz="4" w:space="0" w:color="000000"/>
                  </w:tcBorders>
                </w:tcPr>
                <w:p w:rsidR="00D14979" w:rsidRPr="00CF4A1F" w:rsidRDefault="00913A6D" w:rsidP="00E90AED">
                  <w:pPr>
                    <w:pStyle w:val="Caption"/>
                    <w:jc w:val="center"/>
                  </w:pPr>
                  <w:r>
                    <w:rPr>
                      <w:lang w:val="sr-Latn-BA"/>
                    </w:rPr>
                    <w:t>22,8</w:t>
                  </w:r>
                  <w:r w:rsidR="00D14979" w:rsidRPr="00CF4A1F">
                    <w:t>%</w:t>
                  </w:r>
                </w:p>
              </w:tc>
              <w:tc>
                <w:tcPr>
                  <w:tcW w:w="851" w:type="dxa"/>
                  <w:tcBorders>
                    <w:left w:val="single" w:sz="4" w:space="0" w:color="000000"/>
                    <w:bottom w:val="single" w:sz="4" w:space="0" w:color="000000"/>
                    <w:right w:val="single" w:sz="4" w:space="0" w:color="000000"/>
                  </w:tcBorders>
                </w:tcPr>
                <w:p w:rsidR="00D14979" w:rsidRPr="00CF4A1F" w:rsidRDefault="00EC6E04" w:rsidP="006807F0">
                  <w:pPr>
                    <w:snapToGrid w:val="0"/>
                    <w:jc w:val="right"/>
                    <w:rPr>
                      <w:sz w:val="20"/>
                      <w:szCs w:val="20"/>
                    </w:rPr>
                  </w:pPr>
                  <w:r>
                    <w:rPr>
                      <w:sz w:val="20"/>
                      <w:szCs w:val="20"/>
                      <w:lang w:val="sr-Latn-BA"/>
                    </w:rPr>
                    <w:t>6,5</w:t>
                  </w:r>
                  <w:r w:rsidR="00D14979" w:rsidRPr="00CF4A1F">
                    <w:rPr>
                      <w:sz w:val="20"/>
                      <w:szCs w:val="20"/>
                    </w:rPr>
                    <w:t>%</w:t>
                  </w:r>
                </w:p>
              </w:tc>
              <w:tc>
                <w:tcPr>
                  <w:tcW w:w="1134" w:type="dxa"/>
                  <w:tcBorders>
                    <w:left w:val="single" w:sz="4" w:space="0" w:color="000000"/>
                    <w:bottom w:val="single" w:sz="4" w:space="0" w:color="000000"/>
                  </w:tcBorders>
                  <w:shd w:val="clear" w:color="auto" w:fill="auto"/>
                </w:tcPr>
                <w:p w:rsidR="00D14979" w:rsidRPr="00CF4A1F" w:rsidRDefault="00BC1178" w:rsidP="00A711F6">
                  <w:pPr>
                    <w:snapToGrid w:val="0"/>
                    <w:jc w:val="right"/>
                    <w:rPr>
                      <w:sz w:val="20"/>
                      <w:szCs w:val="20"/>
                    </w:rPr>
                  </w:pPr>
                  <w:r>
                    <w:rPr>
                      <w:sz w:val="20"/>
                      <w:szCs w:val="20"/>
                      <w:lang w:val="sr-Latn-BA"/>
                    </w:rPr>
                    <w:t>5,5</w:t>
                  </w:r>
                  <w:r w:rsidR="00D14979" w:rsidRPr="00CF4A1F">
                    <w:rPr>
                      <w:sz w:val="20"/>
                      <w:szCs w:val="20"/>
                    </w:rPr>
                    <w:t>%</w:t>
                  </w:r>
                </w:p>
              </w:tc>
            </w:tr>
          </w:tbl>
          <w:p w:rsidR="00CF4A1F" w:rsidRPr="00CF4A1F" w:rsidRDefault="00CF4A1F" w:rsidP="00A711F6">
            <w:pPr>
              <w:jc w:val="both"/>
            </w:pPr>
          </w:p>
        </w:tc>
      </w:tr>
    </w:tbl>
    <w:p w:rsidR="00720A96" w:rsidRDefault="00720A96">
      <w:pPr>
        <w:jc w:val="both"/>
        <w:rPr>
          <w:sz w:val="20"/>
          <w:szCs w:val="20"/>
          <w:lang w:val="sr-Cyrl-CS"/>
        </w:rPr>
      </w:pPr>
      <w:r>
        <w:rPr>
          <w:lang w:val="sr-Cyrl-CS"/>
        </w:rPr>
        <w:t>Извор:</w:t>
      </w:r>
      <w:r>
        <w:rPr>
          <w:sz w:val="20"/>
          <w:szCs w:val="20"/>
          <w:lang w:val="sr-Cyrl-CS"/>
        </w:rPr>
        <w:t xml:space="preserve"> Републички завод</w:t>
      </w:r>
      <w:r w:rsidR="003A7123">
        <w:rPr>
          <w:sz w:val="20"/>
          <w:szCs w:val="20"/>
          <w:lang w:val="sr-Cyrl-CS"/>
        </w:rPr>
        <w:t xml:space="preserve"> за статистику РС(за период 20</w:t>
      </w:r>
      <w:r w:rsidR="0035481C">
        <w:rPr>
          <w:sz w:val="20"/>
          <w:szCs w:val="20"/>
          <w:lang w:val="sr-Latn-BA"/>
        </w:rPr>
        <w:t>1</w:t>
      </w:r>
      <w:r w:rsidR="00714547">
        <w:rPr>
          <w:sz w:val="20"/>
          <w:szCs w:val="20"/>
          <w:lang w:val="sr-Latn-BA"/>
        </w:rPr>
        <w:t>8</w:t>
      </w:r>
      <w:r>
        <w:rPr>
          <w:sz w:val="20"/>
          <w:szCs w:val="20"/>
          <w:lang w:val="sr-Cyrl-CS"/>
        </w:rPr>
        <w:t>-</w:t>
      </w:r>
      <w:r w:rsidR="00714547">
        <w:rPr>
          <w:sz w:val="20"/>
          <w:szCs w:val="20"/>
          <w:lang w:val="ru-RU"/>
        </w:rPr>
        <w:t>20</w:t>
      </w:r>
      <w:r w:rsidR="00714547">
        <w:rPr>
          <w:sz w:val="20"/>
          <w:szCs w:val="20"/>
          <w:lang w:val="sr-Latn-BA"/>
        </w:rPr>
        <w:t>21</w:t>
      </w:r>
      <w:r w:rsidRPr="00B64D86">
        <w:rPr>
          <w:sz w:val="20"/>
          <w:szCs w:val="20"/>
          <w:lang w:val="ru-RU"/>
        </w:rPr>
        <w:t>) и</w:t>
      </w:r>
      <w:r>
        <w:rPr>
          <w:sz w:val="20"/>
          <w:szCs w:val="20"/>
          <w:lang w:val="sr-Cyrl-CS"/>
        </w:rPr>
        <w:t xml:space="preserve"> процјене и пројекције Министа</w:t>
      </w:r>
      <w:r w:rsidR="00EB12FD">
        <w:rPr>
          <w:sz w:val="20"/>
          <w:szCs w:val="20"/>
          <w:lang w:val="sr-Cyrl-CS"/>
        </w:rPr>
        <w:t>рства финансија РС(за период 20</w:t>
      </w:r>
      <w:r w:rsidR="00714547">
        <w:rPr>
          <w:sz w:val="20"/>
          <w:szCs w:val="20"/>
          <w:lang w:val="sr-Latn-BA"/>
        </w:rPr>
        <w:t>23</w:t>
      </w:r>
      <w:r w:rsidR="00A052DF">
        <w:rPr>
          <w:sz w:val="20"/>
          <w:szCs w:val="20"/>
          <w:lang w:val="sr-Cyrl-CS"/>
        </w:rPr>
        <w:t>-202</w:t>
      </w:r>
      <w:r w:rsidR="00714547">
        <w:rPr>
          <w:sz w:val="20"/>
          <w:szCs w:val="20"/>
          <w:lang w:val="sr-Latn-BA"/>
        </w:rPr>
        <w:t>5</w:t>
      </w:r>
      <w:r>
        <w:rPr>
          <w:sz w:val="20"/>
          <w:szCs w:val="20"/>
          <w:lang w:val="sr-Cyrl-CS"/>
        </w:rPr>
        <w:t>.</w:t>
      </w:r>
      <w:r w:rsidRPr="00B64D86">
        <w:rPr>
          <w:sz w:val="20"/>
          <w:szCs w:val="20"/>
          <w:lang w:val="ru-RU"/>
        </w:rPr>
        <w:t>год).</w:t>
      </w:r>
      <w:r>
        <w:rPr>
          <w:sz w:val="20"/>
          <w:szCs w:val="20"/>
          <w:lang w:val="sr-Cyrl-CS"/>
        </w:rPr>
        <w:t xml:space="preserve"> </w:t>
      </w:r>
    </w:p>
    <w:p w:rsidR="00720A96" w:rsidRDefault="00720A96">
      <w:pPr>
        <w:jc w:val="both"/>
        <w:rPr>
          <w:lang w:val="sr-Cyrl-CS"/>
        </w:rPr>
      </w:pPr>
    </w:p>
    <w:p w:rsidR="001F424B" w:rsidRPr="000E1EE2" w:rsidRDefault="00D12319" w:rsidP="00C5067B">
      <w:pPr>
        <w:ind w:firstLine="720"/>
        <w:jc w:val="both"/>
        <w:rPr>
          <w:lang w:val="sr-Latn-BA"/>
        </w:rPr>
      </w:pPr>
      <w:r>
        <w:rPr>
          <w:lang w:val="sr-Cyrl-BA"/>
        </w:rPr>
        <w:t xml:space="preserve">Међународног монетарног фонда (ММФ) </w:t>
      </w:r>
      <w:r>
        <w:rPr>
          <w:lang w:val="sr-Latn-BA"/>
        </w:rPr>
        <w:t xml:space="preserve">у сом извјештају предвиђа да ће у 2022. </w:t>
      </w:r>
      <w:r w:rsidR="005D1999">
        <w:rPr>
          <w:lang w:val="sr-Cyrl-BA"/>
        </w:rPr>
        <w:t>г</w:t>
      </w:r>
      <w:r>
        <w:rPr>
          <w:lang w:val="sr-Cyrl-BA"/>
        </w:rPr>
        <w:t>одини и 2023. Свјетски раст успорити са процијењ</w:t>
      </w:r>
      <w:r w:rsidR="005D1999">
        <w:rPr>
          <w:lang w:val="sr-Cyrl-BA"/>
        </w:rPr>
        <w:t>ених 6,1% на 3,6%. Након 2023. г</w:t>
      </w:r>
      <w:r>
        <w:rPr>
          <w:lang w:val="sr-Cyrl-BA"/>
        </w:rPr>
        <w:t xml:space="preserve">одине очекује се пад глобалног раста на 3,3% у средњем року.Као главни узрок смањења пројекције раста наводи се сукоб у Украјни. </w:t>
      </w:r>
      <w:r w:rsidR="000F7735">
        <w:rPr>
          <w:lang w:val="sr-Latn-BA"/>
        </w:rPr>
        <w:t>П</w:t>
      </w:r>
      <w:r w:rsidR="000F7735">
        <w:rPr>
          <w:lang w:val="sr-Cyrl-BA"/>
        </w:rPr>
        <w:t xml:space="preserve">овећања цијене робе, поновне поремећаје у ланцима снабдијевања и све већу неизвјесност, погоршала је изгледе за раст. Инфлација у Европи расте од почетка 2021. </w:t>
      </w:r>
      <w:r w:rsidR="00C069BF">
        <w:rPr>
          <w:lang w:val="sr-Cyrl-BA"/>
        </w:rPr>
        <w:t>г</w:t>
      </w:r>
      <w:r w:rsidR="005D1999">
        <w:rPr>
          <w:lang w:val="sr-Cyrl-BA"/>
        </w:rPr>
        <w:t>одине са 2,9% на 6,8% у 2022. г</w:t>
      </w:r>
      <w:r w:rsidR="000F7735">
        <w:rPr>
          <w:lang w:val="sr-Cyrl-BA"/>
        </w:rPr>
        <w:t>одини да би с</w:t>
      </w:r>
      <w:r w:rsidR="005D1999">
        <w:rPr>
          <w:lang w:val="sr-Cyrl-BA"/>
        </w:rPr>
        <w:t>е поново смањила на 3,2% у 2023.</w:t>
      </w:r>
      <w:r w:rsidR="000F7735">
        <w:rPr>
          <w:lang w:val="sr-Cyrl-BA"/>
        </w:rPr>
        <w:t>години.</w:t>
      </w:r>
      <w:r w:rsidR="008203D0">
        <w:rPr>
          <w:lang w:val="sr-Cyrl-BA"/>
        </w:rPr>
        <w:t xml:space="preserve"> </w:t>
      </w:r>
    </w:p>
    <w:p w:rsidR="00720A96" w:rsidRPr="00EE03B9" w:rsidRDefault="001F424B">
      <w:pPr>
        <w:jc w:val="both"/>
        <w:rPr>
          <w:lang w:val="ru-RU"/>
        </w:rPr>
      </w:pPr>
      <w:r>
        <w:rPr>
          <w:lang w:val="sr-Cyrl-CS"/>
        </w:rPr>
        <w:tab/>
      </w:r>
      <w:r w:rsidR="00151AD9">
        <w:rPr>
          <w:lang w:val="sr-Latn-BA"/>
        </w:rPr>
        <w:t>У</w:t>
      </w:r>
      <w:r w:rsidR="00AD0413">
        <w:rPr>
          <w:lang w:val="sr-Cyrl-BA"/>
        </w:rPr>
        <w:t xml:space="preserve"> Републици Српској</w:t>
      </w:r>
      <w:r w:rsidR="005D1999">
        <w:rPr>
          <w:lang w:val="sr-Cyrl-BA"/>
        </w:rPr>
        <w:t xml:space="preserve"> током 2021. г</w:t>
      </w:r>
      <w:r w:rsidR="00151AD9">
        <w:rPr>
          <w:lang w:val="sr-Cyrl-BA"/>
        </w:rPr>
        <w:t>одине је дошло до стабилизације епидемиолошке ситуције,  тиме и ублажавања и укидања рестриктивних здравствених мјера, што је имало за резултат опоравка индустрије, али и појединих дјелатности услужног сектора које су биле највише погођене ефектима пандемије</w:t>
      </w:r>
      <w:r w:rsidR="00F40E97">
        <w:rPr>
          <w:lang w:val="sr-Cyrl-BA"/>
        </w:rPr>
        <w:t>.</w:t>
      </w:r>
      <w:r w:rsidR="001F6B2D">
        <w:rPr>
          <w:lang w:val="sr-Cyrl-BA"/>
        </w:rPr>
        <w:t xml:space="preserve"> Повећани екстерни ризици</w:t>
      </w:r>
      <w:r w:rsidR="001F6B2D" w:rsidRPr="001F6B2D">
        <w:rPr>
          <w:lang w:val="sr-Cyrl-BA"/>
        </w:rPr>
        <w:t xml:space="preserve"> </w:t>
      </w:r>
      <w:r w:rsidR="001F6B2D">
        <w:rPr>
          <w:lang w:val="sr-Cyrl-BA"/>
        </w:rPr>
        <w:t>снажни инфлаторни притисци и висока основица из претходне године утицале су на ревидирање очекиване</w:t>
      </w:r>
      <w:r w:rsidR="005E54B1">
        <w:rPr>
          <w:lang w:val="sr-Cyrl-BA"/>
        </w:rPr>
        <w:t xml:space="preserve"> стопе</w:t>
      </w:r>
      <w:r w:rsidR="001F6B2D">
        <w:rPr>
          <w:lang w:val="sr-Cyrl-BA"/>
        </w:rPr>
        <w:t xml:space="preserve"> реалног раста БДП-а Републике Српске за 2022. годину и наредни период на ниже. </w:t>
      </w:r>
      <w:r w:rsidR="00BE4FDA">
        <w:rPr>
          <w:lang w:val="sr-Cyrl-CS"/>
        </w:rPr>
        <w:t>Мјерено индексом потрошачке цијене, у Републ</w:t>
      </w:r>
      <w:r w:rsidR="00291464">
        <w:rPr>
          <w:lang w:val="sr-Cyrl-CS"/>
        </w:rPr>
        <w:t>ици Српској у 20</w:t>
      </w:r>
      <w:r w:rsidR="005E54B1">
        <w:rPr>
          <w:lang w:val="sr-Latn-BA"/>
        </w:rPr>
        <w:t>2</w:t>
      </w:r>
      <w:r w:rsidR="005E54B1">
        <w:rPr>
          <w:lang w:val="sr-Cyrl-BA"/>
        </w:rPr>
        <w:t>1</w:t>
      </w:r>
      <w:r w:rsidR="00BE4FDA">
        <w:rPr>
          <w:lang w:val="sr-Cyrl-CS"/>
        </w:rPr>
        <w:t>. години забиљежена ј</w:t>
      </w:r>
      <w:r w:rsidR="00D04366">
        <w:rPr>
          <w:lang w:val="sr-Cyrl-CS"/>
        </w:rPr>
        <w:t xml:space="preserve">е годишња стопа </w:t>
      </w:r>
      <w:r w:rsidR="00D04366">
        <w:rPr>
          <w:lang w:val="sr-Latn-BA"/>
        </w:rPr>
        <w:t>ин</w:t>
      </w:r>
      <w:r w:rsidR="005E54B1">
        <w:rPr>
          <w:lang w:val="sr-Cyrl-CS"/>
        </w:rPr>
        <w:t>флације од 1,9</w:t>
      </w:r>
      <w:r w:rsidR="00BE4FDA">
        <w:rPr>
          <w:lang w:val="sr-Cyrl-CS"/>
        </w:rPr>
        <w:t xml:space="preserve">%. </w:t>
      </w:r>
      <w:r w:rsidR="00E9460A">
        <w:rPr>
          <w:lang w:val="sr-Latn-BA"/>
        </w:rPr>
        <w:t xml:space="preserve">Процјењује </w:t>
      </w:r>
      <w:r w:rsidR="00E9460A">
        <w:rPr>
          <w:lang w:val="sr-Latn-BA"/>
        </w:rPr>
        <w:lastRenderedPageBreak/>
        <w:t xml:space="preserve">се </w:t>
      </w:r>
      <w:r w:rsidR="005E54B1">
        <w:rPr>
          <w:lang w:val="sr-Latn-BA"/>
        </w:rPr>
        <w:t>да ће у Републици Српској у 202</w:t>
      </w:r>
      <w:r w:rsidR="005E54B1">
        <w:rPr>
          <w:lang w:val="sr-Cyrl-BA"/>
        </w:rPr>
        <w:t>2</w:t>
      </w:r>
      <w:r w:rsidR="00D04366">
        <w:rPr>
          <w:lang w:val="sr-Latn-BA"/>
        </w:rPr>
        <w:t xml:space="preserve">. </w:t>
      </w:r>
      <w:r w:rsidR="00D04366" w:rsidRPr="00EE03B9">
        <w:rPr>
          <w:lang w:val="ru-RU"/>
        </w:rPr>
        <w:t>г</w:t>
      </w:r>
      <w:r w:rsidR="00E9460A">
        <w:rPr>
          <w:lang w:val="sr-Latn-BA"/>
        </w:rPr>
        <w:t xml:space="preserve">одини </w:t>
      </w:r>
      <w:r w:rsidR="00E9460A" w:rsidRPr="00EE03B9">
        <w:rPr>
          <w:lang w:val="ru-RU"/>
        </w:rPr>
        <w:t>просјечна стопа и</w:t>
      </w:r>
      <w:r w:rsidR="00AE1CAD" w:rsidRPr="00EE03B9">
        <w:rPr>
          <w:lang w:val="ru-RU"/>
        </w:rPr>
        <w:t xml:space="preserve">нфлације </w:t>
      </w:r>
      <w:r w:rsidR="00AE1CAD">
        <w:rPr>
          <w:lang w:val="sr-Latn-BA"/>
        </w:rPr>
        <w:t>бити</w:t>
      </w:r>
      <w:r w:rsidR="000E1EE2" w:rsidRPr="00EE03B9">
        <w:rPr>
          <w:lang w:val="ru-RU"/>
        </w:rPr>
        <w:t xml:space="preserve"> </w:t>
      </w:r>
      <w:r w:rsidR="005E54B1">
        <w:rPr>
          <w:lang w:val="sr-Cyrl-BA"/>
        </w:rPr>
        <w:t>9</w:t>
      </w:r>
      <w:r w:rsidR="005E54B1">
        <w:rPr>
          <w:lang w:val="sr-Latn-BA"/>
        </w:rPr>
        <w:t>,</w:t>
      </w:r>
      <w:r w:rsidR="005E54B1">
        <w:rPr>
          <w:lang w:val="sr-Cyrl-BA"/>
        </w:rPr>
        <w:t>5</w:t>
      </w:r>
      <w:r w:rsidR="00E9460A" w:rsidRPr="00EE03B9">
        <w:rPr>
          <w:lang w:val="ru-RU"/>
        </w:rPr>
        <w:t>%.</w:t>
      </w:r>
    </w:p>
    <w:p w:rsidR="005D5577" w:rsidRPr="00291464" w:rsidRDefault="00C5067B">
      <w:pPr>
        <w:jc w:val="both"/>
        <w:rPr>
          <w:lang w:val="sr-Latn-BA"/>
        </w:rPr>
      </w:pPr>
      <w:r>
        <w:rPr>
          <w:lang w:val="sr-Cyrl-CS"/>
        </w:rPr>
        <w:tab/>
      </w:r>
      <w:r w:rsidR="00720A96">
        <w:rPr>
          <w:lang w:val="sr-Cyrl-CS"/>
        </w:rPr>
        <w:t xml:space="preserve">Просјечна </w:t>
      </w:r>
      <w:r w:rsidR="00720A96">
        <w:rPr>
          <w:b/>
          <w:lang w:val="sr-Cyrl-CS"/>
        </w:rPr>
        <w:t>нето плата</w:t>
      </w:r>
      <w:r w:rsidR="001F424B">
        <w:rPr>
          <w:lang w:val="sr-Cyrl-CS"/>
        </w:rPr>
        <w:t xml:space="preserve"> у Р</w:t>
      </w:r>
      <w:r w:rsidR="004C5564">
        <w:rPr>
          <w:lang w:val="sr-Cyrl-CS"/>
        </w:rPr>
        <w:t xml:space="preserve">епублици </w:t>
      </w:r>
      <w:r w:rsidR="001F424B">
        <w:rPr>
          <w:lang w:val="sr-Cyrl-CS"/>
        </w:rPr>
        <w:t>С</w:t>
      </w:r>
      <w:r w:rsidR="00291464">
        <w:rPr>
          <w:lang w:val="sr-Cyrl-CS"/>
        </w:rPr>
        <w:t>рпској је у 20</w:t>
      </w:r>
      <w:r w:rsidR="005E54B1">
        <w:rPr>
          <w:lang w:val="sr-Latn-BA"/>
        </w:rPr>
        <w:t>2</w:t>
      </w:r>
      <w:r w:rsidR="005E54B1">
        <w:rPr>
          <w:lang w:val="sr-Cyrl-BA"/>
        </w:rPr>
        <w:t>1</w:t>
      </w:r>
      <w:r w:rsidR="000E1EE2">
        <w:rPr>
          <w:lang w:val="sr-Cyrl-CS"/>
        </w:rPr>
        <w:t xml:space="preserve">. години износила </w:t>
      </w:r>
      <w:r w:rsidR="005E54B1">
        <w:rPr>
          <w:lang w:val="sr-Cyrl-BA"/>
        </w:rPr>
        <w:t>1004</w:t>
      </w:r>
      <w:r w:rsidR="004C7E48">
        <w:rPr>
          <w:lang w:val="sr-Cyrl-CS"/>
        </w:rPr>
        <w:t xml:space="preserve"> КМ што је за </w:t>
      </w:r>
      <w:r w:rsidR="00F452F9">
        <w:rPr>
          <w:lang w:val="sr-Latn-BA"/>
        </w:rPr>
        <w:t>5,</w:t>
      </w:r>
      <w:r w:rsidR="00F452F9">
        <w:rPr>
          <w:lang w:val="sr-Cyrl-BA"/>
        </w:rPr>
        <w:t>0</w:t>
      </w:r>
      <w:r w:rsidR="000E1EE2">
        <w:rPr>
          <w:lang w:val="sr-Cyrl-CS"/>
        </w:rPr>
        <w:t xml:space="preserve">% </w:t>
      </w:r>
      <w:r w:rsidR="000E1EE2">
        <w:rPr>
          <w:lang w:val="sr-Latn-BA"/>
        </w:rPr>
        <w:t>већа</w:t>
      </w:r>
      <w:r w:rsidR="00F452F9">
        <w:rPr>
          <w:lang w:val="sr-Cyrl-CS"/>
        </w:rPr>
        <w:t xml:space="preserve"> плата у односу на 2020</w:t>
      </w:r>
      <w:r w:rsidR="001F424B">
        <w:rPr>
          <w:lang w:val="sr-Cyrl-CS"/>
        </w:rPr>
        <w:t>.</w:t>
      </w:r>
      <w:r w:rsidR="00720A96">
        <w:rPr>
          <w:lang w:val="sr-Cyrl-CS"/>
        </w:rPr>
        <w:t xml:space="preserve"> годину</w:t>
      </w:r>
      <w:r w:rsidR="000E1EE2">
        <w:rPr>
          <w:lang w:val="sr-Cyrl-CS"/>
        </w:rPr>
        <w:t>.</w:t>
      </w:r>
      <w:r w:rsidR="00291464">
        <w:rPr>
          <w:lang w:val="sr-Latn-BA"/>
        </w:rPr>
        <w:t xml:space="preserve"> </w:t>
      </w:r>
      <w:r w:rsidR="000E1EE2">
        <w:rPr>
          <w:lang w:val="sr-Cyrl-CS"/>
        </w:rPr>
        <w:t>Пре</w:t>
      </w:r>
      <w:r w:rsidR="00291464">
        <w:rPr>
          <w:lang w:val="sr-Cyrl-CS"/>
        </w:rPr>
        <w:t>двиђа се да ће у 202</w:t>
      </w:r>
      <w:r w:rsidR="00F452F9">
        <w:rPr>
          <w:lang w:val="sr-Cyrl-BA"/>
        </w:rPr>
        <w:t>2</w:t>
      </w:r>
      <w:r>
        <w:rPr>
          <w:lang w:val="sr-Latn-BA"/>
        </w:rPr>
        <w:t>.</w:t>
      </w:r>
      <w:r w:rsidR="003C3D77">
        <w:rPr>
          <w:lang w:val="sr-Cyrl-CS"/>
        </w:rPr>
        <w:t xml:space="preserve"> години</w:t>
      </w:r>
      <w:r w:rsidR="004C5564">
        <w:rPr>
          <w:lang w:val="sr-Cyrl-CS"/>
        </w:rPr>
        <w:t xml:space="preserve"> п</w:t>
      </w:r>
      <w:r w:rsidR="00291464">
        <w:rPr>
          <w:lang w:val="sr-Cyrl-CS"/>
        </w:rPr>
        <w:t xml:space="preserve">росјечна нето плата износити </w:t>
      </w:r>
      <w:r w:rsidR="00F452F9">
        <w:rPr>
          <w:lang w:val="sr-Latn-BA"/>
        </w:rPr>
        <w:t>1.</w:t>
      </w:r>
      <w:r w:rsidR="00F452F9">
        <w:rPr>
          <w:lang w:val="sr-Cyrl-BA"/>
        </w:rPr>
        <w:t>121</w:t>
      </w:r>
      <w:r w:rsidR="004C5564">
        <w:rPr>
          <w:lang w:val="sr-Cyrl-CS"/>
        </w:rPr>
        <w:t xml:space="preserve"> КМ, з</w:t>
      </w:r>
      <w:r w:rsidR="005D5577">
        <w:rPr>
          <w:lang w:val="sr-Cyrl-CS"/>
        </w:rPr>
        <w:t>а наредни пе</w:t>
      </w:r>
      <w:r w:rsidR="00FA2428">
        <w:rPr>
          <w:lang w:val="sr-Cyrl-CS"/>
        </w:rPr>
        <w:t>р</w:t>
      </w:r>
      <w:r w:rsidR="005D5577">
        <w:rPr>
          <w:lang w:val="sr-Cyrl-CS"/>
        </w:rPr>
        <w:t>иод је п</w:t>
      </w:r>
      <w:r w:rsidR="006732F1">
        <w:rPr>
          <w:lang w:val="sr-Cyrl-CS"/>
        </w:rPr>
        <w:t>р</w:t>
      </w:r>
      <w:r w:rsidR="005D5577">
        <w:rPr>
          <w:lang w:val="sr-Cyrl-CS"/>
        </w:rPr>
        <w:t xml:space="preserve">ојектован благи </w:t>
      </w:r>
      <w:r w:rsidR="00FA2428">
        <w:rPr>
          <w:lang w:val="sr-Cyrl-CS"/>
        </w:rPr>
        <w:t>р</w:t>
      </w:r>
      <w:r w:rsidR="005D5577">
        <w:rPr>
          <w:lang w:val="sr-Cyrl-CS"/>
        </w:rPr>
        <w:t>аст пл</w:t>
      </w:r>
      <w:r w:rsidR="00291464">
        <w:rPr>
          <w:lang w:val="sr-Cyrl-CS"/>
        </w:rPr>
        <w:t xml:space="preserve">ата </w:t>
      </w:r>
      <w:r w:rsidR="00291464">
        <w:rPr>
          <w:lang w:val="sr-Cyrl-BA"/>
        </w:rPr>
        <w:t>до</w:t>
      </w:r>
      <w:r w:rsidR="00291464">
        <w:rPr>
          <w:lang w:val="sr-Cyrl-CS"/>
        </w:rPr>
        <w:t xml:space="preserve"> </w:t>
      </w:r>
      <w:r w:rsidR="00F452F9">
        <w:rPr>
          <w:lang w:val="sr-Latn-BA"/>
        </w:rPr>
        <w:t>1.</w:t>
      </w:r>
      <w:r w:rsidR="00F452F9">
        <w:rPr>
          <w:lang w:val="sr-Cyrl-BA"/>
        </w:rPr>
        <w:t>196</w:t>
      </w:r>
      <w:r w:rsidR="00291464">
        <w:rPr>
          <w:lang w:val="sr-Cyrl-CS"/>
        </w:rPr>
        <w:t xml:space="preserve"> КМ</w:t>
      </w:r>
      <w:r w:rsidR="00291464">
        <w:rPr>
          <w:lang w:val="sr-Latn-BA"/>
        </w:rPr>
        <w:t>.</w:t>
      </w:r>
    </w:p>
    <w:p w:rsidR="00720A96" w:rsidRDefault="00C5067B">
      <w:pPr>
        <w:jc w:val="both"/>
        <w:rPr>
          <w:lang w:val="sr-Cyrl-CS"/>
        </w:rPr>
      </w:pPr>
      <w:r>
        <w:rPr>
          <w:lang w:val="sr-Cyrl-CS"/>
        </w:rPr>
        <w:tab/>
      </w:r>
      <w:r w:rsidR="00F452F9">
        <w:rPr>
          <w:lang w:val="sr-Cyrl-CS"/>
        </w:rPr>
        <w:t>У Републици Српској у 2021</w:t>
      </w:r>
      <w:r w:rsidR="005D5577">
        <w:rPr>
          <w:lang w:val="sr-Cyrl-CS"/>
        </w:rPr>
        <w:t>.години забиљежена је а</w:t>
      </w:r>
      <w:r>
        <w:rPr>
          <w:lang w:val="sr-Cyrl-BA"/>
        </w:rPr>
        <w:t>н</w:t>
      </w:r>
      <w:r w:rsidR="00F452F9">
        <w:rPr>
          <w:lang w:val="sr-Cyrl-CS"/>
        </w:rPr>
        <w:t>кетна стопа незапослености од 14,3</w:t>
      </w:r>
      <w:r w:rsidR="005D5577">
        <w:rPr>
          <w:lang w:val="sr-Cyrl-CS"/>
        </w:rPr>
        <w:t>%</w:t>
      </w:r>
      <w:r w:rsidR="00D6208D">
        <w:rPr>
          <w:lang w:val="sr-Cyrl-CS"/>
        </w:rPr>
        <w:t>,</w:t>
      </w:r>
      <w:r w:rsidR="00291464">
        <w:rPr>
          <w:lang w:val="sr-Cyrl-CS"/>
        </w:rPr>
        <w:t xml:space="preserve"> </w:t>
      </w:r>
      <w:r w:rsidR="00F452F9">
        <w:rPr>
          <w:lang w:val="sr-Cyrl-CS"/>
        </w:rPr>
        <w:t>а пројектовано је смањење</w:t>
      </w:r>
      <w:r w:rsidR="005D5577">
        <w:rPr>
          <w:lang w:val="sr-Cyrl-CS"/>
        </w:rPr>
        <w:t xml:space="preserve"> стопе</w:t>
      </w:r>
      <w:r w:rsidR="00F452F9">
        <w:rPr>
          <w:lang w:val="sr-Cyrl-CS"/>
        </w:rPr>
        <w:t xml:space="preserve"> незапослености кретаће се до 11</w:t>
      </w:r>
      <w:r w:rsidR="00D6208D">
        <w:rPr>
          <w:lang w:val="sr-Cyrl-CS"/>
        </w:rPr>
        <w:t>,</w:t>
      </w:r>
      <w:r w:rsidR="00F452F9">
        <w:rPr>
          <w:lang w:val="sr-Cyrl-BA"/>
        </w:rPr>
        <w:t>7</w:t>
      </w:r>
      <w:r w:rsidR="00291464">
        <w:rPr>
          <w:lang w:val="sr-Cyrl-BA"/>
        </w:rPr>
        <w:t>%</w:t>
      </w:r>
      <w:r w:rsidR="00FA2428">
        <w:rPr>
          <w:lang w:val="sr-Cyrl-CS"/>
        </w:rPr>
        <w:t>.</w:t>
      </w:r>
    </w:p>
    <w:p w:rsidR="00720A96" w:rsidRDefault="00720A96">
      <w:pPr>
        <w:jc w:val="both"/>
        <w:rPr>
          <w:lang w:val="sr-Cyrl-CS"/>
        </w:rPr>
      </w:pPr>
      <w:r>
        <w:rPr>
          <w:lang w:val="sr-Cyrl-CS"/>
        </w:rPr>
        <w:t xml:space="preserve">                                                  </w:t>
      </w:r>
    </w:p>
    <w:p w:rsidR="00720A96" w:rsidRDefault="00720A96">
      <w:pPr>
        <w:jc w:val="both"/>
        <w:rPr>
          <w:b/>
          <w:lang w:val="sr-Cyrl-CS"/>
        </w:rPr>
      </w:pPr>
      <w:r>
        <w:rPr>
          <w:lang w:val="sr-Cyrl-CS"/>
        </w:rPr>
        <w:tab/>
      </w:r>
      <w:r>
        <w:rPr>
          <w:b/>
          <w:bCs/>
          <w:lang w:val="sr-Cyrl-CS"/>
        </w:rPr>
        <w:t>Средњерочна фискална стратегија</w:t>
      </w:r>
      <w:r>
        <w:rPr>
          <w:lang w:val="sr-Cyrl-CS"/>
        </w:rPr>
        <w:t xml:space="preserve"> – </w:t>
      </w:r>
      <w:r>
        <w:rPr>
          <w:b/>
          <w:lang w:val="sr-Cyrl-CS"/>
        </w:rPr>
        <w:t>Пројекција прихода</w:t>
      </w:r>
    </w:p>
    <w:p w:rsidR="00720A96" w:rsidRDefault="00720A96">
      <w:pPr>
        <w:jc w:val="both"/>
        <w:rPr>
          <w:u w:val="single"/>
          <w:lang w:val="sr-Cyrl-CS"/>
        </w:rPr>
      </w:pPr>
    </w:p>
    <w:p w:rsidR="00F07BEB" w:rsidRPr="00EE03B9" w:rsidRDefault="00C5067B">
      <w:pPr>
        <w:jc w:val="both"/>
        <w:rPr>
          <w:lang w:val="ru-RU"/>
        </w:rPr>
      </w:pPr>
      <w:r>
        <w:rPr>
          <w:lang w:val="sr-Cyrl-CS"/>
        </w:rPr>
        <w:tab/>
      </w:r>
      <w:r w:rsidR="00295735" w:rsidRPr="00EE03B9">
        <w:rPr>
          <w:lang w:val="ru-RU"/>
        </w:rPr>
        <w:t>Пројекције  прихода су урађене на основу пројектованих макроекономских показатеља за Републику Српску</w:t>
      </w:r>
      <w:r w:rsidR="00705AB5" w:rsidRPr="00EE03B9">
        <w:rPr>
          <w:lang w:val="ru-RU"/>
        </w:rPr>
        <w:t xml:space="preserve"> и БиХ, постојеће пореске политике у области директног и индиректног опорезивања и уочених трендова у наплати прихода.</w:t>
      </w:r>
    </w:p>
    <w:p w:rsidR="00720A96" w:rsidRPr="00DA209F" w:rsidRDefault="00720A96">
      <w:pPr>
        <w:jc w:val="both"/>
        <w:rPr>
          <w:lang w:val="sr-Latn-BA"/>
        </w:rPr>
      </w:pPr>
      <w:r>
        <w:rPr>
          <w:lang w:val="sr-Cyrl-CS"/>
        </w:rPr>
        <w:t xml:space="preserve">На основу процјене прихода од индиректног пореза у расподјели, примјеном Закона о буџетском систему буџету РС </w:t>
      </w:r>
      <w:r w:rsidR="00C5067B">
        <w:rPr>
          <w:lang w:val="sr-Cyrl-CS"/>
        </w:rPr>
        <w:t xml:space="preserve">у </w:t>
      </w:r>
      <w:r w:rsidR="00066C9C">
        <w:rPr>
          <w:lang w:val="sr-Cyrl-CS"/>
        </w:rPr>
        <w:t>20</w:t>
      </w:r>
      <w:r w:rsidR="00942130">
        <w:rPr>
          <w:lang w:val="sr-Latn-BA"/>
        </w:rPr>
        <w:t>2</w:t>
      </w:r>
      <w:r w:rsidR="00FE6B01">
        <w:rPr>
          <w:lang w:val="sr-Cyrl-BA"/>
        </w:rPr>
        <w:t>3</w:t>
      </w:r>
      <w:r w:rsidR="00C5067B">
        <w:rPr>
          <w:lang w:val="sr-Cyrl-CS"/>
        </w:rPr>
        <w:t>. г</w:t>
      </w:r>
      <w:r w:rsidR="00705AB5">
        <w:rPr>
          <w:lang w:val="sr-Cyrl-CS"/>
        </w:rPr>
        <w:t xml:space="preserve">одини </w:t>
      </w:r>
      <w:r w:rsidR="00A711F6" w:rsidRPr="00EE03B9">
        <w:rPr>
          <w:lang w:val="ru-RU"/>
        </w:rPr>
        <w:t xml:space="preserve">општинама и градовима </w:t>
      </w:r>
      <w:r w:rsidR="00705AB5">
        <w:rPr>
          <w:lang w:val="sr-Cyrl-CS"/>
        </w:rPr>
        <w:t xml:space="preserve">припада износ од </w:t>
      </w:r>
      <w:r w:rsidR="004D5C69">
        <w:rPr>
          <w:lang w:val="sr-Latn-BA"/>
        </w:rPr>
        <w:t>474</w:t>
      </w:r>
      <w:r w:rsidR="009509C8" w:rsidRPr="00EE03B9">
        <w:rPr>
          <w:lang w:val="ru-RU"/>
        </w:rPr>
        <w:t>,</w:t>
      </w:r>
      <w:r w:rsidR="004D5C69">
        <w:rPr>
          <w:lang w:val="sr-Latn-BA"/>
        </w:rPr>
        <w:t>3</w:t>
      </w:r>
      <w:r w:rsidR="00DA209F">
        <w:rPr>
          <w:lang w:val="sr-Cyrl-CS"/>
        </w:rPr>
        <w:t xml:space="preserve"> милиона КМ</w:t>
      </w:r>
      <w:r w:rsidR="00DA209F">
        <w:rPr>
          <w:lang w:val="sr-Latn-BA"/>
        </w:rPr>
        <w:t>.</w:t>
      </w:r>
    </w:p>
    <w:p w:rsidR="00720A96" w:rsidRPr="00B824B5" w:rsidRDefault="00720A96" w:rsidP="00C5067B">
      <w:pPr>
        <w:ind w:firstLine="720"/>
        <w:jc w:val="both"/>
        <w:rPr>
          <w:lang w:val="sr-Latn-BA"/>
        </w:rPr>
      </w:pPr>
      <w:r>
        <w:rPr>
          <w:lang w:val="sr-Cyrl-CS"/>
        </w:rPr>
        <w:t>Поред прихода од индиректног пореза, Република Српска прикупља низ других (директних) пореза укључујући порез на добит предузећа, доходак, друге пореске приходе (остали порези на имовину, порез на приходе од приређивања игара на срећу, заостали индиректни приходи), као и читав низ непореских прихода.</w:t>
      </w:r>
    </w:p>
    <w:p w:rsidR="00720A96" w:rsidRPr="00C37566" w:rsidRDefault="00C5067B">
      <w:pPr>
        <w:jc w:val="both"/>
        <w:rPr>
          <w:lang w:val="sr-Latn-BA"/>
        </w:rPr>
      </w:pPr>
      <w:r>
        <w:rPr>
          <w:lang w:val="sr-Cyrl-CS"/>
        </w:rPr>
        <w:tab/>
      </w:r>
      <w:r w:rsidR="00720A96">
        <w:rPr>
          <w:lang w:val="sr-Cyrl-CS"/>
        </w:rPr>
        <w:t xml:space="preserve">Непорески приходи се </w:t>
      </w:r>
      <w:r w:rsidR="00066C9C">
        <w:rPr>
          <w:lang w:val="sr-Cyrl-CS"/>
        </w:rPr>
        <w:t>очекују у 20</w:t>
      </w:r>
      <w:r w:rsidR="00942130">
        <w:rPr>
          <w:lang w:val="sr-Latn-BA"/>
        </w:rPr>
        <w:t>2</w:t>
      </w:r>
      <w:r w:rsidR="004D5C69">
        <w:rPr>
          <w:lang w:val="sr-Latn-BA"/>
        </w:rPr>
        <w:t>3</w:t>
      </w:r>
      <w:r w:rsidR="00C37566">
        <w:rPr>
          <w:lang w:val="sr-Cyrl-CS"/>
        </w:rPr>
        <w:t xml:space="preserve">. години у износу од </w:t>
      </w:r>
      <w:r w:rsidR="004D5C69">
        <w:rPr>
          <w:lang w:val="sr-Cyrl-BA"/>
        </w:rPr>
        <w:t>2</w:t>
      </w:r>
      <w:r w:rsidR="004D5C69">
        <w:rPr>
          <w:lang w:val="sr-Latn-BA"/>
        </w:rPr>
        <w:t>50</w:t>
      </w:r>
      <w:r w:rsidR="00C37566">
        <w:rPr>
          <w:lang w:val="sr-Cyrl-CS"/>
        </w:rPr>
        <w:t>,</w:t>
      </w:r>
      <w:r w:rsidR="004D5C69">
        <w:rPr>
          <w:lang w:val="sr-Latn-BA"/>
        </w:rPr>
        <w:t>9</w:t>
      </w:r>
      <w:r w:rsidR="006B0A68">
        <w:rPr>
          <w:lang w:val="sr-Cyrl-CS"/>
        </w:rPr>
        <w:t xml:space="preserve"> милиона КМ</w:t>
      </w:r>
      <w:r w:rsidR="006B0A68" w:rsidRPr="00EE03B9">
        <w:rPr>
          <w:lang w:val="ru-RU"/>
        </w:rPr>
        <w:t>.</w:t>
      </w:r>
    </w:p>
    <w:p w:rsidR="00720A96" w:rsidRDefault="00C5067B">
      <w:pPr>
        <w:jc w:val="both"/>
        <w:rPr>
          <w:lang w:val="sr-Cyrl-CS"/>
        </w:rPr>
      </w:pPr>
      <w:r>
        <w:rPr>
          <w:lang w:val="sr-Cyrl-CS"/>
        </w:rPr>
        <w:tab/>
      </w:r>
      <w:r w:rsidR="00720A96">
        <w:rPr>
          <w:lang w:val="sr-Cyrl-CS"/>
        </w:rPr>
        <w:t>Очекивани изн</w:t>
      </w:r>
      <w:r w:rsidR="00D91BE0">
        <w:rPr>
          <w:lang w:val="sr-Cyrl-CS"/>
        </w:rPr>
        <w:t xml:space="preserve">ос укупних </w:t>
      </w:r>
      <w:r w:rsidR="00D91BE0" w:rsidRPr="00EE03B9">
        <w:rPr>
          <w:lang w:val="ru-RU"/>
        </w:rPr>
        <w:t>буџетских</w:t>
      </w:r>
      <w:r w:rsidR="00720A96">
        <w:rPr>
          <w:lang w:val="sr-Cyrl-CS"/>
        </w:rPr>
        <w:t xml:space="preserve"> прих</w:t>
      </w:r>
      <w:r w:rsidR="00C37566">
        <w:rPr>
          <w:lang w:val="sr-Cyrl-CS"/>
        </w:rPr>
        <w:t>ода</w:t>
      </w:r>
      <w:r w:rsidR="004D5C69">
        <w:rPr>
          <w:lang w:val="sr-Cyrl-CS"/>
        </w:rPr>
        <w:t xml:space="preserve"> </w:t>
      </w:r>
      <w:r w:rsidR="004D5C69">
        <w:rPr>
          <w:lang w:val="sr-Cyrl-BA"/>
        </w:rPr>
        <w:t>за јединице локалне самоуправе</w:t>
      </w:r>
      <w:r w:rsidR="00066C9C">
        <w:rPr>
          <w:lang w:val="sr-Cyrl-CS"/>
        </w:rPr>
        <w:t xml:space="preserve"> у 20</w:t>
      </w:r>
      <w:r w:rsidR="00942130">
        <w:rPr>
          <w:lang w:val="sr-Latn-BA"/>
        </w:rPr>
        <w:t>2</w:t>
      </w:r>
      <w:r w:rsidR="004D5C69">
        <w:rPr>
          <w:lang w:val="sr-Cyrl-BA"/>
        </w:rPr>
        <w:t>3</w:t>
      </w:r>
      <w:r w:rsidR="00C37566">
        <w:rPr>
          <w:lang w:val="sr-Cyrl-CS"/>
        </w:rPr>
        <w:t xml:space="preserve">. години, износи </w:t>
      </w:r>
      <w:r w:rsidR="004D5C69">
        <w:rPr>
          <w:lang w:val="sr-Cyrl-BA"/>
        </w:rPr>
        <w:t>905</w:t>
      </w:r>
      <w:r w:rsidR="008622FE">
        <w:rPr>
          <w:lang w:val="sr-Latn-BA"/>
        </w:rPr>
        <w:t>,</w:t>
      </w:r>
      <w:r w:rsidR="004D5C69">
        <w:rPr>
          <w:lang w:val="sr-Cyrl-BA"/>
        </w:rPr>
        <w:t>3</w:t>
      </w:r>
      <w:r w:rsidR="00581530" w:rsidRPr="00EE03B9">
        <w:rPr>
          <w:lang w:val="ru-RU"/>
        </w:rPr>
        <w:t xml:space="preserve"> </w:t>
      </w:r>
      <w:r w:rsidR="00720A96">
        <w:rPr>
          <w:lang w:val="sr-Cyrl-CS"/>
        </w:rPr>
        <w:t>КМ милиона КМ</w:t>
      </w:r>
      <w:r w:rsidR="00007C52">
        <w:rPr>
          <w:lang w:val="sr-Cyrl-CS"/>
        </w:rPr>
        <w:t>,</w:t>
      </w:r>
      <w:r w:rsidR="00942130">
        <w:rPr>
          <w:lang w:val="sr-Latn-BA"/>
        </w:rPr>
        <w:t xml:space="preserve"> у 202</w:t>
      </w:r>
      <w:r w:rsidR="004D5C69">
        <w:rPr>
          <w:lang w:val="sr-Cyrl-BA"/>
        </w:rPr>
        <w:t>4</w:t>
      </w:r>
      <w:r w:rsidR="00007C52">
        <w:rPr>
          <w:lang w:val="sr-Latn-BA"/>
        </w:rPr>
        <w:t>. години</w:t>
      </w:r>
      <w:r w:rsidR="00C37566">
        <w:rPr>
          <w:lang w:val="sr-Cyrl-CS"/>
        </w:rPr>
        <w:t xml:space="preserve"> </w:t>
      </w:r>
      <w:r w:rsidR="004D5C69">
        <w:rPr>
          <w:lang w:val="sr-Cyrl-BA"/>
        </w:rPr>
        <w:t>929,6</w:t>
      </w:r>
      <w:r w:rsidR="00D91BE0">
        <w:rPr>
          <w:lang w:val="sr-Cyrl-CS"/>
        </w:rPr>
        <w:t xml:space="preserve"> милиона КМ и</w:t>
      </w:r>
      <w:r w:rsidR="00007C52">
        <w:rPr>
          <w:lang w:val="sr-Cyrl-CS"/>
        </w:rPr>
        <w:t xml:space="preserve"> </w:t>
      </w:r>
      <w:r w:rsidR="004D5C69">
        <w:rPr>
          <w:lang w:val="sr-Cyrl-BA"/>
        </w:rPr>
        <w:t>981</w:t>
      </w:r>
      <w:r w:rsidR="00007C52">
        <w:rPr>
          <w:lang w:val="sr-Cyrl-CS"/>
        </w:rPr>
        <w:t>,</w:t>
      </w:r>
      <w:r w:rsidR="004D5C69">
        <w:rPr>
          <w:lang w:val="sr-Cyrl-BA"/>
        </w:rPr>
        <w:t>4</w:t>
      </w:r>
      <w:r w:rsidR="00D91BE0">
        <w:rPr>
          <w:lang w:val="sr-Cyrl-CS"/>
        </w:rPr>
        <w:t xml:space="preserve"> милиона КМ</w:t>
      </w:r>
      <w:r w:rsidR="00066C9C">
        <w:rPr>
          <w:lang w:val="sr-Cyrl-CS"/>
        </w:rPr>
        <w:t xml:space="preserve"> у 202</w:t>
      </w:r>
      <w:r w:rsidR="004D5C69">
        <w:rPr>
          <w:lang w:val="sr-Cyrl-BA"/>
        </w:rPr>
        <w:t>5</w:t>
      </w:r>
      <w:r w:rsidR="00007C52">
        <w:rPr>
          <w:lang w:val="sr-Cyrl-CS"/>
        </w:rPr>
        <w:t>. години</w:t>
      </w:r>
      <w:r w:rsidR="00720A96">
        <w:rPr>
          <w:lang w:val="sr-Cyrl-CS"/>
        </w:rPr>
        <w:t xml:space="preserve">. </w:t>
      </w:r>
    </w:p>
    <w:p w:rsidR="00F55E05" w:rsidRDefault="00C5067B" w:rsidP="00E61E87">
      <w:pPr>
        <w:jc w:val="both"/>
        <w:rPr>
          <w:lang w:val="sr-Cyrl-CS"/>
        </w:rPr>
      </w:pPr>
      <w:r>
        <w:rPr>
          <w:lang w:val="sr-Cyrl-CS"/>
        </w:rPr>
        <w:tab/>
      </w:r>
    </w:p>
    <w:p w:rsidR="00334087" w:rsidRDefault="00334087" w:rsidP="00E61E87">
      <w:pPr>
        <w:jc w:val="both"/>
        <w:rPr>
          <w:lang w:val="sr-Cyrl-CS"/>
        </w:rPr>
      </w:pPr>
    </w:p>
    <w:p w:rsidR="00334087" w:rsidRDefault="00334087" w:rsidP="00E61E87">
      <w:pPr>
        <w:jc w:val="both"/>
        <w:rPr>
          <w:lang w:val="sr-Cyrl-CS"/>
        </w:rPr>
      </w:pPr>
    </w:p>
    <w:p w:rsidR="00334087" w:rsidRPr="009300C6" w:rsidRDefault="00334087" w:rsidP="00E61E87">
      <w:pPr>
        <w:jc w:val="both"/>
        <w:rPr>
          <w:lang w:val="sr-Latn-BA"/>
        </w:rPr>
      </w:pPr>
    </w:p>
    <w:p w:rsidR="00720A96" w:rsidRPr="00F55E05" w:rsidRDefault="00720A96" w:rsidP="00F55E05">
      <w:pPr>
        <w:jc w:val="center"/>
        <w:rPr>
          <w:b/>
          <w:lang w:val="sr-Cyrl-CS"/>
        </w:rPr>
      </w:pPr>
      <w:r w:rsidRPr="00F55E05">
        <w:rPr>
          <w:b/>
          <w:lang w:val="sr-Cyrl-CS"/>
        </w:rPr>
        <w:t>ПОРЕСКИ И НЕПОРЕСКИ ПРИХОДИ БУЏЕТА ОПШТИНА</w:t>
      </w:r>
    </w:p>
    <w:p w:rsidR="00F55E05" w:rsidRPr="00EC44C0" w:rsidRDefault="00F55E05">
      <w:pPr>
        <w:jc w:val="both"/>
        <w:rPr>
          <w:lang w:val="sr-Latn-BA"/>
        </w:rPr>
      </w:pPr>
    </w:p>
    <w:p w:rsidR="00F55E05" w:rsidRDefault="00F55E05">
      <w:pPr>
        <w:jc w:val="both"/>
        <w:rPr>
          <w:lang w:val="sr-Cyrl-CS"/>
        </w:rPr>
      </w:pPr>
    </w:p>
    <w:p w:rsidR="00720A96" w:rsidRPr="00F55E05" w:rsidRDefault="00F55E05">
      <w:pPr>
        <w:jc w:val="both"/>
        <w:rPr>
          <w:i/>
          <w:lang w:val="sr-Cyrl-CS"/>
        </w:rPr>
      </w:pPr>
      <w:r w:rsidRPr="00F55E05">
        <w:rPr>
          <w:i/>
          <w:lang w:val="sr-Cyrl-CS"/>
        </w:rPr>
        <w:t>Табела 2</w:t>
      </w:r>
    </w:p>
    <w:p w:rsidR="00720A96" w:rsidRDefault="00720A96">
      <w:pPr>
        <w:jc w:val="both"/>
        <w:rPr>
          <w:b/>
          <w:u w:val="single"/>
          <w:lang w:val="sr-Cyrl-CS"/>
        </w:rPr>
      </w:pPr>
      <w:r>
        <w:rPr>
          <w:lang w:val="sr-Cyrl-CS"/>
        </w:rPr>
        <w:tab/>
      </w:r>
      <w:r>
        <w:rPr>
          <w:lang w:val="sr-Cyrl-CS"/>
        </w:rPr>
        <w:tab/>
      </w:r>
      <w:r>
        <w:rPr>
          <w:b/>
          <w:u w:val="single"/>
          <w:lang w:val="sr-Cyrl-CS"/>
        </w:rPr>
        <w:t xml:space="preserve">Пројекција пореских и непореских прихода </w:t>
      </w:r>
    </w:p>
    <w:p w:rsidR="00720A96" w:rsidRDefault="00720A96">
      <w:pPr>
        <w:jc w:val="center"/>
        <w:rPr>
          <w:b/>
          <w:u w:val="single"/>
          <w:lang w:val="sr-Cyrl-CS"/>
        </w:rPr>
      </w:pPr>
      <w:r>
        <w:rPr>
          <w:b/>
          <w:u w:val="single"/>
          <w:lang w:val="sr-Cyrl-CS"/>
        </w:rPr>
        <w:t>(општине)</w:t>
      </w:r>
    </w:p>
    <w:p w:rsidR="00720A96" w:rsidRDefault="00720A96">
      <w:pPr>
        <w:jc w:val="both"/>
        <w:rPr>
          <w:lang w:val="sr-Cyrl-CS"/>
        </w:rPr>
      </w:pPr>
    </w:p>
    <w:tbl>
      <w:tblPr>
        <w:tblW w:w="8567" w:type="dxa"/>
        <w:tblInd w:w="108" w:type="dxa"/>
        <w:tblLayout w:type="fixed"/>
        <w:tblLook w:val="0000"/>
      </w:tblPr>
      <w:tblGrid>
        <w:gridCol w:w="2760"/>
        <w:gridCol w:w="1320"/>
        <w:gridCol w:w="1200"/>
        <w:gridCol w:w="1080"/>
        <w:gridCol w:w="1080"/>
        <w:gridCol w:w="1127"/>
      </w:tblGrid>
      <w:tr w:rsidR="00720A96" w:rsidTr="008622FE">
        <w:trPr>
          <w:trHeight w:hRule="exact" w:val="240"/>
        </w:trPr>
        <w:tc>
          <w:tcPr>
            <w:tcW w:w="2760" w:type="dxa"/>
            <w:vMerge w:val="restart"/>
            <w:tcBorders>
              <w:top w:val="single" w:sz="4" w:space="0" w:color="000000"/>
              <w:left w:val="single" w:sz="4" w:space="0" w:color="000000"/>
              <w:bottom w:val="single" w:sz="4" w:space="0" w:color="000000"/>
            </w:tcBorders>
            <w:shd w:val="clear" w:color="auto" w:fill="auto"/>
          </w:tcPr>
          <w:p w:rsidR="00720A96" w:rsidRDefault="00720A96">
            <w:pPr>
              <w:snapToGrid w:val="0"/>
              <w:jc w:val="both"/>
              <w:rPr>
                <w:sz w:val="20"/>
                <w:szCs w:val="20"/>
                <w:lang w:val="sr-Cyrl-CS"/>
              </w:rPr>
            </w:pPr>
            <w:r>
              <w:rPr>
                <w:sz w:val="20"/>
                <w:szCs w:val="20"/>
                <w:lang w:val="sr-Cyrl-CS"/>
              </w:rPr>
              <w:t>Врста прихода</w:t>
            </w:r>
          </w:p>
        </w:tc>
        <w:tc>
          <w:tcPr>
            <w:tcW w:w="1320" w:type="dxa"/>
            <w:tcBorders>
              <w:top w:val="single" w:sz="4" w:space="0" w:color="000000"/>
              <w:left w:val="single" w:sz="4" w:space="0" w:color="000000"/>
              <w:bottom w:val="single" w:sz="4" w:space="0" w:color="000000"/>
            </w:tcBorders>
            <w:shd w:val="clear" w:color="auto" w:fill="auto"/>
          </w:tcPr>
          <w:p w:rsidR="00720A96" w:rsidRDefault="00720A96">
            <w:pPr>
              <w:snapToGrid w:val="0"/>
              <w:jc w:val="center"/>
              <w:rPr>
                <w:sz w:val="20"/>
                <w:szCs w:val="20"/>
                <w:lang w:val="sr-Cyrl-CS"/>
              </w:rPr>
            </w:pPr>
            <w:r>
              <w:rPr>
                <w:sz w:val="20"/>
                <w:szCs w:val="20"/>
                <w:lang w:val="sr-Cyrl-CS"/>
              </w:rPr>
              <w:t>Остварено</w:t>
            </w:r>
          </w:p>
        </w:tc>
        <w:tc>
          <w:tcPr>
            <w:tcW w:w="1200" w:type="dxa"/>
            <w:tcBorders>
              <w:top w:val="single" w:sz="4" w:space="0" w:color="000000"/>
              <w:left w:val="single" w:sz="4" w:space="0" w:color="000000"/>
              <w:bottom w:val="single" w:sz="4" w:space="0" w:color="000000"/>
            </w:tcBorders>
            <w:shd w:val="clear" w:color="auto" w:fill="auto"/>
          </w:tcPr>
          <w:p w:rsidR="00720A96" w:rsidRPr="00D94BB1" w:rsidRDefault="00D94BB1">
            <w:pPr>
              <w:snapToGrid w:val="0"/>
              <w:jc w:val="center"/>
              <w:rPr>
                <w:sz w:val="20"/>
                <w:szCs w:val="20"/>
                <w:lang w:val="sr-Cyrl-BA"/>
              </w:rPr>
            </w:pPr>
            <w:r>
              <w:rPr>
                <w:sz w:val="20"/>
                <w:szCs w:val="20"/>
                <w:lang w:val="sr-Cyrl-CS"/>
              </w:rPr>
              <w:t>П</w:t>
            </w:r>
            <w:r>
              <w:rPr>
                <w:sz w:val="20"/>
                <w:szCs w:val="20"/>
                <w:lang w:val="sr-Cyrl-BA"/>
              </w:rPr>
              <w:t>лан</w:t>
            </w:r>
          </w:p>
        </w:tc>
        <w:tc>
          <w:tcPr>
            <w:tcW w:w="3287" w:type="dxa"/>
            <w:gridSpan w:val="3"/>
            <w:tcBorders>
              <w:top w:val="single" w:sz="4" w:space="0" w:color="000000"/>
              <w:left w:val="single" w:sz="4" w:space="0" w:color="000000"/>
              <w:bottom w:val="single" w:sz="4" w:space="0" w:color="000000"/>
              <w:right w:val="single" w:sz="4" w:space="0" w:color="000000"/>
            </w:tcBorders>
            <w:shd w:val="clear" w:color="auto" w:fill="auto"/>
          </w:tcPr>
          <w:p w:rsidR="00720A96" w:rsidRDefault="00720A96">
            <w:pPr>
              <w:snapToGrid w:val="0"/>
              <w:jc w:val="center"/>
              <w:rPr>
                <w:sz w:val="20"/>
                <w:szCs w:val="20"/>
                <w:lang w:val="sr-Cyrl-CS"/>
              </w:rPr>
            </w:pPr>
            <w:r>
              <w:rPr>
                <w:sz w:val="20"/>
                <w:szCs w:val="20"/>
                <w:lang w:val="sr-Cyrl-CS"/>
              </w:rPr>
              <w:t>Пројекција</w:t>
            </w:r>
          </w:p>
        </w:tc>
      </w:tr>
      <w:tr w:rsidR="00720A96" w:rsidTr="008622FE">
        <w:tc>
          <w:tcPr>
            <w:tcW w:w="2760" w:type="dxa"/>
            <w:vMerge/>
            <w:tcBorders>
              <w:top w:val="single" w:sz="4" w:space="0" w:color="000000"/>
              <w:left w:val="single" w:sz="4" w:space="0" w:color="000000"/>
              <w:bottom w:val="single" w:sz="4" w:space="0" w:color="000000"/>
            </w:tcBorders>
            <w:shd w:val="clear" w:color="auto" w:fill="auto"/>
          </w:tcPr>
          <w:p w:rsidR="00720A96" w:rsidRDefault="00720A96">
            <w:pPr>
              <w:snapToGrid w:val="0"/>
            </w:pPr>
          </w:p>
        </w:tc>
        <w:tc>
          <w:tcPr>
            <w:tcW w:w="1320" w:type="dxa"/>
            <w:tcBorders>
              <w:left w:val="single" w:sz="4" w:space="0" w:color="000000"/>
              <w:bottom w:val="single" w:sz="4" w:space="0" w:color="000000"/>
            </w:tcBorders>
            <w:shd w:val="clear" w:color="auto" w:fill="auto"/>
          </w:tcPr>
          <w:p w:rsidR="00720A96" w:rsidRPr="007C779A" w:rsidRDefault="00BA05D8">
            <w:pPr>
              <w:snapToGrid w:val="0"/>
              <w:jc w:val="center"/>
              <w:rPr>
                <w:sz w:val="20"/>
                <w:szCs w:val="20"/>
                <w:lang w:val="sr-Cyrl-BA"/>
              </w:rPr>
            </w:pPr>
            <w:r>
              <w:rPr>
                <w:sz w:val="20"/>
                <w:szCs w:val="20"/>
                <w:lang w:val="sr-Cyrl-CS"/>
              </w:rPr>
              <w:t>20</w:t>
            </w:r>
            <w:r w:rsidR="007C779A">
              <w:rPr>
                <w:sz w:val="20"/>
                <w:szCs w:val="20"/>
                <w:lang w:val="sr-Cyrl-CS"/>
              </w:rPr>
              <w:t>2</w:t>
            </w:r>
            <w:r w:rsidR="004D5C69">
              <w:rPr>
                <w:sz w:val="20"/>
                <w:szCs w:val="20"/>
                <w:lang w:val="sr-Cyrl-CS"/>
              </w:rPr>
              <w:t>1</w:t>
            </w:r>
          </w:p>
        </w:tc>
        <w:tc>
          <w:tcPr>
            <w:tcW w:w="1200" w:type="dxa"/>
            <w:tcBorders>
              <w:left w:val="single" w:sz="4" w:space="0" w:color="000000"/>
              <w:bottom w:val="single" w:sz="4" w:space="0" w:color="000000"/>
            </w:tcBorders>
            <w:shd w:val="clear" w:color="auto" w:fill="auto"/>
          </w:tcPr>
          <w:p w:rsidR="00720A96" w:rsidRPr="007C779A" w:rsidRDefault="00BA05D8">
            <w:pPr>
              <w:snapToGrid w:val="0"/>
              <w:jc w:val="center"/>
              <w:rPr>
                <w:sz w:val="20"/>
                <w:szCs w:val="20"/>
                <w:lang w:val="sr-Cyrl-BA"/>
              </w:rPr>
            </w:pPr>
            <w:r>
              <w:rPr>
                <w:sz w:val="20"/>
                <w:szCs w:val="20"/>
                <w:lang w:val="sr-Cyrl-CS"/>
              </w:rPr>
              <w:t>20</w:t>
            </w:r>
            <w:r w:rsidR="00DE48DD">
              <w:rPr>
                <w:sz w:val="20"/>
                <w:szCs w:val="20"/>
                <w:lang w:val="sr-Latn-BA"/>
              </w:rPr>
              <w:t>2</w:t>
            </w:r>
            <w:r w:rsidR="004D5C69">
              <w:rPr>
                <w:sz w:val="20"/>
                <w:szCs w:val="20"/>
                <w:lang w:val="sr-Cyrl-BA"/>
              </w:rPr>
              <w:t>2</w:t>
            </w:r>
          </w:p>
        </w:tc>
        <w:tc>
          <w:tcPr>
            <w:tcW w:w="1080" w:type="dxa"/>
            <w:tcBorders>
              <w:left w:val="single" w:sz="4" w:space="0" w:color="000000"/>
              <w:bottom w:val="single" w:sz="4" w:space="0" w:color="000000"/>
            </w:tcBorders>
            <w:shd w:val="clear" w:color="auto" w:fill="auto"/>
          </w:tcPr>
          <w:p w:rsidR="00720A96" w:rsidRPr="007C779A" w:rsidRDefault="00EB3570">
            <w:pPr>
              <w:snapToGrid w:val="0"/>
              <w:jc w:val="center"/>
              <w:rPr>
                <w:sz w:val="20"/>
                <w:szCs w:val="20"/>
                <w:lang w:val="sr-Cyrl-BA"/>
              </w:rPr>
            </w:pPr>
            <w:r>
              <w:rPr>
                <w:sz w:val="20"/>
                <w:szCs w:val="20"/>
                <w:lang w:val="sr-Cyrl-CS"/>
              </w:rPr>
              <w:t>20</w:t>
            </w:r>
            <w:r w:rsidR="00AE1E29">
              <w:rPr>
                <w:sz w:val="20"/>
                <w:szCs w:val="20"/>
                <w:lang w:val="sr-Latn-BA"/>
              </w:rPr>
              <w:t>2</w:t>
            </w:r>
            <w:r w:rsidR="004D5C69">
              <w:rPr>
                <w:sz w:val="20"/>
                <w:szCs w:val="20"/>
                <w:lang w:val="sr-Cyrl-BA"/>
              </w:rPr>
              <w:t>3</w:t>
            </w:r>
          </w:p>
        </w:tc>
        <w:tc>
          <w:tcPr>
            <w:tcW w:w="1080" w:type="dxa"/>
            <w:tcBorders>
              <w:left w:val="single" w:sz="4" w:space="0" w:color="000000"/>
              <w:bottom w:val="single" w:sz="4" w:space="0" w:color="000000"/>
            </w:tcBorders>
            <w:shd w:val="clear" w:color="auto" w:fill="auto"/>
          </w:tcPr>
          <w:p w:rsidR="00720A96" w:rsidRPr="004A640F" w:rsidRDefault="00EB3570">
            <w:pPr>
              <w:snapToGrid w:val="0"/>
              <w:jc w:val="center"/>
              <w:rPr>
                <w:sz w:val="20"/>
                <w:szCs w:val="20"/>
                <w:lang w:val="sr-Cyrl-BA"/>
              </w:rPr>
            </w:pPr>
            <w:r>
              <w:rPr>
                <w:sz w:val="20"/>
                <w:szCs w:val="20"/>
                <w:lang w:val="sr-Cyrl-CS"/>
              </w:rPr>
              <w:t>20</w:t>
            </w:r>
            <w:r w:rsidR="000B22F4">
              <w:rPr>
                <w:sz w:val="20"/>
                <w:szCs w:val="20"/>
                <w:lang w:val="sr-Latn-BA"/>
              </w:rPr>
              <w:t>2</w:t>
            </w:r>
            <w:r w:rsidR="004A640F">
              <w:rPr>
                <w:sz w:val="20"/>
                <w:szCs w:val="20"/>
                <w:lang w:val="sr-Cyrl-BA"/>
              </w:rPr>
              <w:t>4</w:t>
            </w:r>
          </w:p>
        </w:tc>
        <w:tc>
          <w:tcPr>
            <w:tcW w:w="1127" w:type="dxa"/>
            <w:tcBorders>
              <w:left w:val="single" w:sz="4" w:space="0" w:color="000000"/>
              <w:bottom w:val="single" w:sz="4" w:space="0" w:color="000000"/>
              <w:right w:val="single" w:sz="4" w:space="0" w:color="000000"/>
            </w:tcBorders>
            <w:shd w:val="clear" w:color="auto" w:fill="auto"/>
          </w:tcPr>
          <w:p w:rsidR="00720A96" w:rsidRPr="004A640F" w:rsidRDefault="00EB3570">
            <w:pPr>
              <w:snapToGrid w:val="0"/>
              <w:jc w:val="center"/>
              <w:rPr>
                <w:sz w:val="20"/>
                <w:szCs w:val="20"/>
                <w:lang w:val="sr-Cyrl-BA"/>
              </w:rPr>
            </w:pPr>
            <w:r>
              <w:rPr>
                <w:sz w:val="20"/>
                <w:szCs w:val="20"/>
                <w:lang w:val="sr-Cyrl-CS"/>
              </w:rPr>
              <w:t>20</w:t>
            </w:r>
            <w:r w:rsidR="00646185">
              <w:rPr>
                <w:sz w:val="20"/>
                <w:szCs w:val="20"/>
                <w:lang w:val="sr-Cyrl-CS"/>
              </w:rPr>
              <w:t>2</w:t>
            </w:r>
            <w:r w:rsidR="004A640F">
              <w:rPr>
                <w:sz w:val="20"/>
                <w:szCs w:val="20"/>
                <w:lang w:val="sr-Cyrl-BA"/>
              </w:rPr>
              <w:t>5</w:t>
            </w:r>
          </w:p>
        </w:tc>
      </w:tr>
      <w:tr w:rsidR="00720A96" w:rsidTr="008622FE">
        <w:trPr>
          <w:trHeight w:val="255"/>
        </w:trPr>
        <w:tc>
          <w:tcPr>
            <w:tcW w:w="2760" w:type="dxa"/>
            <w:tcBorders>
              <w:left w:val="single" w:sz="4" w:space="0" w:color="000000"/>
              <w:bottom w:val="single" w:sz="4" w:space="0" w:color="000000"/>
            </w:tcBorders>
            <w:shd w:val="clear" w:color="auto" w:fill="auto"/>
          </w:tcPr>
          <w:p w:rsidR="00720A96" w:rsidRDefault="00720A96">
            <w:pPr>
              <w:snapToGrid w:val="0"/>
              <w:jc w:val="both"/>
              <w:rPr>
                <w:b/>
                <w:i/>
                <w:sz w:val="20"/>
                <w:szCs w:val="20"/>
                <w:lang w:val="sr-Cyrl-CS"/>
              </w:rPr>
            </w:pPr>
            <w:r>
              <w:rPr>
                <w:b/>
                <w:i/>
                <w:sz w:val="20"/>
                <w:szCs w:val="20"/>
                <w:lang w:val="hr-HR"/>
              </w:rPr>
              <w:t>I</w:t>
            </w:r>
            <w:r>
              <w:rPr>
                <w:b/>
                <w:i/>
                <w:sz w:val="20"/>
                <w:szCs w:val="20"/>
                <w:lang w:val="sr-Cyrl-CS"/>
              </w:rPr>
              <w:t>. Порески приходи</w:t>
            </w:r>
          </w:p>
        </w:tc>
        <w:tc>
          <w:tcPr>
            <w:tcW w:w="1320" w:type="dxa"/>
            <w:tcBorders>
              <w:left w:val="single" w:sz="4" w:space="0" w:color="000000"/>
              <w:bottom w:val="single" w:sz="4" w:space="0" w:color="000000"/>
            </w:tcBorders>
            <w:shd w:val="clear" w:color="auto" w:fill="auto"/>
          </w:tcPr>
          <w:p w:rsidR="00720A96" w:rsidRPr="007C779A" w:rsidRDefault="00DE48DD">
            <w:pPr>
              <w:snapToGrid w:val="0"/>
              <w:jc w:val="right"/>
              <w:rPr>
                <w:b/>
                <w:sz w:val="20"/>
                <w:szCs w:val="20"/>
                <w:lang w:val="sr-Cyrl-BA"/>
              </w:rPr>
            </w:pPr>
            <w:r>
              <w:rPr>
                <w:b/>
                <w:sz w:val="20"/>
                <w:szCs w:val="20"/>
                <w:lang w:val="sr-Latn-BA"/>
              </w:rPr>
              <w:t>4</w:t>
            </w:r>
            <w:r w:rsidR="004D5C69">
              <w:rPr>
                <w:b/>
                <w:sz w:val="20"/>
                <w:szCs w:val="20"/>
                <w:lang w:val="sr-Cyrl-BA"/>
              </w:rPr>
              <w:t>90,6</w:t>
            </w:r>
          </w:p>
        </w:tc>
        <w:tc>
          <w:tcPr>
            <w:tcW w:w="1200" w:type="dxa"/>
            <w:tcBorders>
              <w:left w:val="single" w:sz="4" w:space="0" w:color="000000"/>
              <w:bottom w:val="single" w:sz="4" w:space="0" w:color="000000"/>
            </w:tcBorders>
            <w:shd w:val="clear" w:color="auto" w:fill="auto"/>
          </w:tcPr>
          <w:p w:rsidR="00720A96" w:rsidRPr="007C779A" w:rsidRDefault="004D5C69">
            <w:pPr>
              <w:snapToGrid w:val="0"/>
              <w:jc w:val="right"/>
              <w:rPr>
                <w:b/>
                <w:sz w:val="20"/>
                <w:szCs w:val="20"/>
                <w:lang w:val="sr-Cyrl-BA"/>
              </w:rPr>
            </w:pPr>
            <w:r>
              <w:rPr>
                <w:b/>
                <w:sz w:val="20"/>
                <w:szCs w:val="20"/>
                <w:lang w:val="sr-Cyrl-BA"/>
              </w:rPr>
              <w:t>562,1</w:t>
            </w:r>
          </w:p>
        </w:tc>
        <w:tc>
          <w:tcPr>
            <w:tcW w:w="1080" w:type="dxa"/>
            <w:tcBorders>
              <w:left w:val="single" w:sz="4" w:space="0" w:color="000000"/>
              <w:bottom w:val="single" w:sz="4" w:space="0" w:color="000000"/>
            </w:tcBorders>
            <w:shd w:val="clear" w:color="auto" w:fill="auto"/>
          </w:tcPr>
          <w:p w:rsidR="00720A96" w:rsidRPr="004D5C69" w:rsidRDefault="004D5C69">
            <w:pPr>
              <w:snapToGrid w:val="0"/>
              <w:jc w:val="right"/>
              <w:rPr>
                <w:b/>
                <w:sz w:val="20"/>
                <w:szCs w:val="20"/>
                <w:lang w:val="sr-Cyrl-BA"/>
              </w:rPr>
            </w:pPr>
            <w:r>
              <w:rPr>
                <w:b/>
                <w:sz w:val="20"/>
                <w:szCs w:val="20"/>
                <w:lang w:val="sr-Cyrl-BA"/>
              </w:rPr>
              <w:t>575,4</w:t>
            </w:r>
          </w:p>
        </w:tc>
        <w:tc>
          <w:tcPr>
            <w:tcW w:w="1080" w:type="dxa"/>
            <w:tcBorders>
              <w:left w:val="single" w:sz="4" w:space="0" w:color="000000"/>
              <w:bottom w:val="single" w:sz="4" w:space="0" w:color="000000"/>
            </w:tcBorders>
            <w:shd w:val="clear" w:color="auto" w:fill="auto"/>
          </w:tcPr>
          <w:p w:rsidR="00720A96" w:rsidRPr="004A640F" w:rsidRDefault="004A640F">
            <w:pPr>
              <w:snapToGrid w:val="0"/>
              <w:jc w:val="right"/>
              <w:rPr>
                <w:b/>
                <w:sz w:val="20"/>
                <w:szCs w:val="20"/>
                <w:lang w:val="sr-Cyrl-BA"/>
              </w:rPr>
            </w:pPr>
            <w:r>
              <w:rPr>
                <w:b/>
                <w:sz w:val="20"/>
                <w:szCs w:val="20"/>
                <w:lang w:val="sr-Cyrl-BA"/>
              </w:rPr>
              <w:t>591,7</w:t>
            </w:r>
          </w:p>
        </w:tc>
        <w:tc>
          <w:tcPr>
            <w:tcW w:w="1127" w:type="dxa"/>
            <w:tcBorders>
              <w:left w:val="single" w:sz="4" w:space="0" w:color="000000"/>
              <w:bottom w:val="single" w:sz="4" w:space="0" w:color="000000"/>
              <w:right w:val="single" w:sz="4" w:space="0" w:color="000000"/>
            </w:tcBorders>
            <w:shd w:val="clear" w:color="auto" w:fill="auto"/>
          </w:tcPr>
          <w:p w:rsidR="00720A96" w:rsidRPr="004A640F" w:rsidRDefault="004A640F">
            <w:pPr>
              <w:snapToGrid w:val="0"/>
              <w:jc w:val="right"/>
              <w:rPr>
                <w:b/>
                <w:sz w:val="20"/>
                <w:szCs w:val="20"/>
                <w:lang w:val="sr-Cyrl-BA"/>
              </w:rPr>
            </w:pPr>
            <w:r>
              <w:rPr>
                <w:b/>
                <w:sz w:val="20"/>
                <w:szCs w:val="20"/>
                <w:lang w:val="sr-Cyrl-BA"/>
              </w:rPr>
              <w:t>630,9</w:t>
            </w:r>
          </w:p>
        </w:tc>
      </w:tr>
      <w:tr w:rsidR="00720A96" w:rsidTr="008622FE">
        <w:trPr>
          <w:trHeight w:val="255"/>
        </w:trPr>
        <w:tc>
          <w:tcPr>
            <w:tcW w:w="2760" w:type="dxa"/>
            <w:tcBorders>
              <w:left w:val="single" w:sz="4" w:space="0" w:color="000000"/>
              <w:bottom w:val="single" w:sz="4" w:space="0" w:color="000000"/>
            </w:tcBorders>
            <w:shd w:val="clear" w:color="auto" w:fill="auto"/>
          </w:tcPr>
          <w:p w:rsidR="00720A96" w:rsidRPr="009300C6" w:rsidRDefault="009300C6">
            <w:pPr>
              <w:snapToGrid w:val="0"/>
              <w:jc w:val="both"/>
              <w:rPr>
                <w:sz w:val="20"/>
                <w:szCs w:val="20"/>
              </w:rPr>
            </w:pPr>
            <w:r>
              <w:rPr>
                <w:sz w:val="20"/>
                <w:szCs w:val="20"/>
              </w:rPr>
              <w:t>Индиректни порези</w:t>
            </w:r>
          </w:p>
        </w:tc>
        <w:tc>
          <w:tcPr>
            <w:tcW w:w="1320" w:type="dxa"/>
            <w:tcBorders>
              <w:left w:val="single" w:sz="4" w:space="0" w:color="000000"/>
              <w:bottom w:val="single" w:sz="4" w:space="0" w:color="000000"/>
            </w:tcBorders>
            <w:shd w:val="clear" w:color="auto" w:fill="auto"/>
          </w:tcPr>
          <w:p w:rsidR="00720A96" w:rsidRPr="007C779A" w:rsidRDefault="004D5C69">
            <w:pPr>
              <w:snapToGrid w:val="0"/>
              <w:jc w:val="right"/>
              <w:rPr>
                <w:sz w:val="20"/>
                <w:szCs w:val="20"/>
                <w:lang w:val="sr-Cyrl-BA"/>
              </w:rPr>
            </w:pPr>
            <w:r>
              <w:rPr>
                <w:sz w:val="20"/>
                <w:szCs w:val="20"/>
                <w:lang w:val="sr-Cyrl-BA"/>
              </w:rPr>
              <w:t>411,3</w:t>
            </w:r>
          </w:p>
        </w:tc>
        <w:tc>
          <w:tcPr>
            <w:tcW w:w="1200" w:type="dxa"/>
            <w:tcBorders>
              <w:left w:val="single" w:sz="4" w:space="0" w:color="000000"/>
              <w:bottom w:val="single" w:sz="4" w:space="0" w:color="000000"/>
            </w:tcBorders>
            <w:shd w:val="clear" w:color="auto" w:fill="auto"/>
          </w:tcPr>
          <w:p w:rsidR="00720A96" w:rsidRPr="007C779A" w:rsidRDefault="004D5C69">
            <w:pPr>
              <w:snapToGrid w:val="0"/>
              <w:jc w:val="right"/>
              <w:rPr>
                <w:sz w:val="20"/>
                <w:szCs w:val="20"/>
                <w:lang w:val="sr-Cyrl-BA"/>
              </w:rPr>
            </w:pPr>
            <w:r>
              <w:rPr>
                <w:sz w:val="20"/>
                <w:szCs w:val="20"/>
                <w:lang w:val="sr-Cyrl-BA"/>
              </w:rPr>
              <w:t>473,1</w:t>
            </w:r>
          </w:p>
        </w:tc>
        <w:tc>
          <w:tcPr>
            <w:tcW w:w="1080" w:type="dxa"/>
            <w:tcBorders>
              <w:left w:val="single" w:sz="4" w:space="0" w:color="000000"/>
              <w:bottom w:val="single" w:sz="4" w:space="0" w:color="000000"/>
            </w:tcBorders>
            <w:shd w:val="clear" w:color="auto" w:fill="auto"/>
          </w:tcPr>
          <w:p w:rsidR="00720A96" w:rsidRPr="007C779A" w:rsidRDefault="004D5C69">
            <w:pPr>
              <w:snapToGrid w:val="0"/>
              <w:jc w:val="right"/>
              <w:rPr>
                <w:sz w:val="20"/>
                <w:szCs w:val="20"/>
                <w:lang w:val="sr-Cyrl-BA"/>
              </w:rPr>
            </w:pPr>
            <w:r>
              <w:rPr>
                <w:sz w:val="20"/>
                <w:szCs w:val="20"/>
                <w:lang w:val="sr-Cyrl-BA"/>
              </w:rPr>
              <w:t>474,3</w:t>
            </w:r>
          </w:p>
        </w:tc>
        <w:tc>
          <w:tcPr>
            <w:tcW w:w="1080" w:type="dxa"/>
            <w:tcBorders>
              <w:left w:val="single" w:sz="4" w:space="0" w:color="000000"/>
              <w:bottom w:val="single" w:sz="4" w:space="0" w:color="000000"/>
            </w:tcBorders>
            <w:shd w:val="clear" w:color="auto" w:fill="auto"/>
          </w:tcPr>
          <w:p w:rsidR="00720A96" w:rsidRPr="004A640F" w:rsidRDefault="004A640F">
            <w:pPr>
              <w:snapToGrid w:val="0"/>
              <w:jc w:val="right"/>
              <w:rPr>
                <w:sz w:val="20"/>
                <w:szCs w:val="20"/>
                <w:lang w:val="sr-Cyrl-BA"/>
              </w:rPr>
            </w:pPr>
            <w:r>
              <w:rPr>
                <w:b/>
                <w:sz w:val="20"/>
                <w:szCs w:val="20"/>
                <w:lang w:val="sr-Cyrl-BA"/>
              </w:rPr>
              <w:t>485,9</w:t>
            </w:r>
          </w:p>
        </w:tc>
        <w:tc>
          <w:tcPr>
            <w:tcW w:w="1127" w:type="dxa"/>
            <w:tcBorders>
              <w:left w:val="single" w:sz="4" w:space="0" w:color="000000"/>
              <w:bottom w:val="single" w:sz="4" w:space="0" w:color="000000"/>
              <w:right w:val="single" w:sz="4" w:space="0" w:color="000000"/>
            </w:tcBorders>
            <w:shd w:val="clear" w:color="auto" w:fill="auto"/>
          </w:tcPr>
          <w:p w:rsidR="00720A96" w:rsidRPr="004A640F" w:rsidRDefault="004A640F" w:rsidP="00AE75AD">
            <w:pPr>
              <w:snapToGrid w:val="0"/>
              <w:jc w:val="right"/>
              <w:rPr>
                <w:sz w:val="20"/>
                <w:szCs w:val="20"/>
                <w:lang w:val="sr-Cyrl-BA"/>
              </w:rPr>
            </w:pPr>
            <w:r>
              <w:rPr>
                <w:sz w:val="20"/>
                <w:szCs w:val="20"/>
                <w:lang w:val="sr-Cyrl-BA"/>
              </w:rPr>
              <w:t>520,5</w:t>
            </w:r>
          </w:p>
        </w:tc>
      </w:tr>
      <w:tr w:rsidR="00720A96" w:rsidTr="008622FE">
        <w:trPr>
          <w:trHeight w:val="255"/>
        </w:trPr>
        <w:tc>
          <w:tcPr>
            <w:tcW w:w="2760" w:type="dxa"/>
            <w:tcBorders>
              <w:left w:val="single" w:sz="4" w:space="0" w:color="000000"/>
              <w:bottom w:val="single" w:sz="4" w:space="0" w:color="000000"/>
            </w:tcBorders>
            <w:shd w:val="clear" w:color="auto" w:fill="auto"/>
          </w:tcPr>
          <w:p w:rsidR="00720A96" w:rsidRDefault="008622FE">
            <w:pPr>
              <w:snapToGrid w:val="0"/>
              <w:jc w:val="both"/>
              <w:rPr>
                <w:sz w:val="20"/>
                <w:szCs w:val="20"/>
                <w:lang w:val="sr-Cyrl-CS"/>
              </w:rPr>
            </w:pPr>
            <w:r>
              <w:rPr>
                <w:sz w:val="20"/>
                <w:szCs w:val="20"/>
                <w:lang w:val="sr-Cyrl-CS"/>
              </w:rPr>
              <w:t>Директни</w:t>
            </w:r>
          </w:p>
        </w:tc>
        <w:tc>
          <w:tcPr>
            <w:tcW w:w="1320" w:type="dxa"/>
            <w:tcBorders>
              <w:left w:val="single" w:sz="4" w:space="0" w:color="000000"/>
              <w:bottom w:val="single" w:sz="4" w:space="0" w:color="000000"/>
            </w:tcBorders>
            <w:shd w:val="clear" w:color="auto" w:fill="auto"/>
          </w:tcPr>
          <w:p w:rsidR="00720A96" w:rsidRPr="007C779A" w:rsidRDefault="004D5C69">
            <w:pPr>
              <w:snapToGrid w:val="0"/>
              <w:jc w:val="right"/>
              <w:rPr>
                <w:sz w:val="20"/>
                <w:szCs w:val="20"/>
                <w:lang w:val="sr-Cyrl-BA"/>
              </w:rPr>
            </w:pPr>
            <w:r>
              <w:rPr>
                <w:sz w:val="20"/>
                <w:szCs w:val="20"/>
                <w:lang w:val="sr-Cyrl-BA"/>
              </w:rPr>
              <w:t>71,10</w:t>
            </w:r>
          </w:p>
        </w:tc>
        <w:tc>
          <w:tcPr>
            <w:tcW w:w="1200" w:type="dxa"/>
            <w:tcBorders>
              <w:left w:val="single" w:sz="4" w:space="0" w:color="000000"/>
              <w:bottom w:val="single" w:sz="4" w:space="0" w:color="000000"/>
            </w:tcBorders>
            <w:shd w:val="clear" w:color="auto" w:fill="auto"/>
          </w:tcPr>
          <w:p w:rsidR="00720A96" w:rsidRPr="007C779A" w:rsidRDefault="004D5C69">
            <w:pPr>
              <w:snapToGrid w:val="0"/>
              <w:jc w:val="right"/>
              <w:rPr>
                <w:sz w:val="20"/>
                <w:szCs w:val="20"/>
                <w:lang w:val="sr-Cyrl-BA"/>
              </w:rPr>
            </w:pPr>
            <w:r>
              <w:rPr>
                <w:sz w:val="20"/>
                <w:szCs w:val="20"/>
                <w:lang w:val="sr-Cyrl-BA"/>
              </w:rPr>
              <w:t>81,10</w:t>
            </w:r>
          </w:p>
        </w:tc>
        <w:tc>
          <w:tcPr>
            <w:tcW w:w="1080" w:type="dxa"/>
            <w:tcBorders>
              <w:left w:val="single" w:sz="4" w:space="0" w:color="000000"/>
              <w:bottom w:val="single" w:sz="4" w:space="0" w:color="000000"/>
            </w:tcBorders>
            <w:shd w:val="clear" w:color="auto" w:fill="auto"/>
          </w:tcPr>
          <w:p w:rsidR="00720A96" w:rsidRPr="00855610" w:rsidRDefault="004A640F" w:rsidP="000B22F4">
            <w:pPr>
              <w:snapToGrid w:val="0"/>
              <w:jc w:val="right"/>
              <w:rPr>
                <w:sz w:val="20"/>
                <w:szCs w:val="20"/>
                <w:lang w:val="sr-Cyrl-BA"/>
              </w:rPr>
            </w:pPr>
            <w:r>
              <w:rPr>
                <w:sz w:val="20"/>
                <w:szCs w:val="20"/>
                <w:lang w:val="sr-Cyrl-BA"/>
              </w:rPr>
              <w:t>99,70</w:t>
            </w:r>
          </w:p>
        </w:tc>
        <w:tc>
          <w:tcPr>
            <w:tcW w:w="1080" w:type="dxa"/>
            <w:tcBorders>
              <w:left w:val="single" w:sz="4" w:space="0" w:color="000000"/>
              <w:bottom w:val="single" w:sz="4" w:space="0" w:color="000000"/>
            </w:tcBorders>
            <w:shd w:val="clear" w:color="auto" w:fill="auto"/>
          </w:tcPr>
          <w:p w:rsidR="00720A96" w:rsidRPr="004A640F" w:rsidRDefault="004A640F">
            <w:pPr>
              <w:snapToGrid w:val="0"/>
              <w:jc w:val="right"/>
              <w:rPr>
                <w:sz w:val="20"/>
                <w:szCs w:val="20"/>
                <w:lang w:val="sr-Cyrl-BA"/>
              </w:rPr>
            </w:pPr>
            <w:r>
              <w:rPr>
                <w:sz w:val="20"/>
                <w:szCs w:val="20"/>
                <w:lang w:val="sr-Cyrl-BA"/>
              </w:rPr>
              <w:t>94,00</w:t>
            </w:r>
          </w:p>
        </w:tc>
        <w:tc>
          <w:tcPr>
            <w:tcW w:w="1127" w:type="dxa"/>
            <w:tcBorders>
              <w:left w:val="single" w:sz="4" w:space="0" w:color="000000"/>
              <w:bottom w:val="single" w:sz="4" w:space="0" w:color="000000"/>
              <w:right w:val="single" w:sz="4" w:space="0" w:color="000000"/>
            </w:tcBorders>
            <w:shd w:val="clear" w:color="auto" w:fill="auto"/>
          </w:tcPr>
          <w:p w:rsidR="00720A96" w:rsidRPr="004A640F" w:rsidRDefault="004A640F" w:rsidP="00AE75AD">
            <w:pPr>
              <w:snapToGrid w:val="0"/>
              <w:jc w:val="right"/>
              <w:rPr>
                <w:sz w:val="20"/>
                <w:szCs w:val="20"/>
                <w:lang w:val="sr-Cyrl-BA"/>
              </w:rPr>
            </w:pPr>
            <w:r>
              <w:rPr>
                <w:sz w:val="20"/>
                <w:szCs w:val="20"/>
                <w:lang w:val="sr-Cyrl-BA"/>
              </w:rPr>
              <w:t>98,20</w:t>
            </w:r>
          </w:p>
        </w:tc>
      </w:tr>
      <w:tr w:rsidR="00720A96" w:rsidTr="008622FE">
        <w:trPr>
          <w:trHeight w:val="255"/>
        </w:trPr>
        <w:tc>
          <w:tcPr>
            <w:tcW w:w="2760" w:type="dxa"/>
            <w:tcBorders>
              <w:left w:val="single" w:sz="4" w:space="0" w:color="000000"/>
              <w:bottom w:val="single" w:sz="4" w:space="0" w:color="000000"/>
            </w:tcBorders>
            <w:shd w:val="clear" w:color="auto" w:fill="auto"/>
          </w:tcPr>
          <w:p w:rsidR="00720A96" w:rsidRDefault="009300C6">
            <w:pPr>
              <w:snapToGrid w:val="0"/>
              <w:jc w:val="both"/>
              <w:rPr>
                <w:sz w:val="20"/>
                <w:szCs w:val="20"/>
                <w:lang w:val="sr-Cyrl-CS"/>
              </w:rPr>
            </w:pPr>
            <w:r>
              <w:rPr>
                <w:sz w:val="20"/>
                <w:szCs w:val="20"/>
                <w:lang w:val="sr-Cyrl-CS"/>
              </w:rPr>
              <w:t>Остали</w:t>
            </w:r>
            <w:r w:rsidR="00720A96">
              <w:rPr>
                <w:sz w:val="20"/>
                <w:szCs w:val="20"/>
                <w:lang w:val="sr-Cyrl-CS"/>
              </w:rPr>
              <w:t xml:space="preserve"> порези</w:t>
            </w:r>
          </w:p>
        </w:tc>
        <w:tc>
          <w:tcPr>
            <w:tcW w:w="1320" w:type="dxa"/>
            <w:tcBorders>
              <w:left w:val="single" w:sz="4" w:space="0" w:color="000000"/>
              <w:bottom w:val="single" w:sz="4" w:space="0" w:color="000000"/>
            </w:tcBorders>
            <w:shd w:val="clear" w:color="auto" w:fill="auto"/>
          </w:tcPr>
          <w:p w:rsidR="00720A96" w:rsidRPr="007C779A" w:rsidRDefault="004D5C69">
            <w:pPr>
              <w:snapToGrid w:val="0"/>
              <w:jc w:val="right"/>
              <w:rPr>
                <w:sz w:val="20"/>
                <w:szCs w:val="20"/>
                <w:lang w:val="sr-Cyrl-BA"/>
              </w:rPr>
            </w:pPr>
            <w:r>
              <w:rPr>
                <w:sz w:val="20"/>
                <w:szCs w:val="20"/>
                <w:lang w:val="sr-Cyrl-BA"/>
              </w:rPr>
              <w:t>8,2</w:t>
            </w:r>
          </w:p>
        </w:tc>
        <w:tc>
          <w:tcPr>
            <w:tcW w:w="1200" w:type="dxa"/>
            <w:tcBorders>
              <w:left w:val="single" w:sz="4" w:space="0" w:color="000000"/>
              <w:bottom w:val="single" w:sz="4" w:space="0" w:color="000000"/>
            </w:tcBorders>
            <w:shd w:val="clear" w:color="auto" w:fill="auto"/>
          </w:tcPr>
          <w:p w:rsidR="00720A96" w:rsidRPr="007C779A" w:rsidRDefault="004D5C69">
            <w:pPr>
              <w:snapToGrid w:val="0"/>
              <w:jc w:val="right"/>
              <w:rPr>
                <w:sz w:val="20"/>
                <w:szCs w:val="20"/>
                <w:lang w:val="sr-Cyrl-BA"/>
              </w:rPr>
            </w:pPr>
            <w:r>
              <w:rPr>
                <w:sz w:val="20"/>
                <w:szCs w:val="20"/>
                <w:lang w:val="sr-Cyrl-BA"/>
              </w:rPr>
              <w:t>7,9</w:t>
            </w:r>
          </w:p>
        </w:tc>
        <w:tc>
          <w:tcPr>
            <w:tcW w:w="1080" w:type="dxa"/>
            <w:tcBorders>
              <w:left w:val="single" w:sz="4" w:space="0" w:color="000000"/>
              <w:bottom w:val="single" w:sz="4" w:space="0" w:color="000000"/>
            </w:tcBorders>
            <w:shd w:val="clear" w:color="auto" w:fill="auto"/>
          </w:tcPr>
          <w:p w:rsidR="00720A96" w:rsidRPr="007C779A" w:rsidRDefault="004D5C69">
            <w:pPr>
              <w:snapToGrid w:val="0"/>
              <w:jc w:val="right"/>
              <w:rPr>
                <w:sz w:val="20"/>
                <w:szCs w:val="20"/>
                <w:lang w:val="sr-Cyrl-BA"/>
              </w:rPr>
            </w:pPr>
            <w:r>
              <w:rPr>
                <w:sz w:val="20"/>
                <w:szCs w:val="20"/>
                <w:lang w:val="sr-Cyrl-BA"/>
              </w:rPr>
              <w:t>11,4</w:t>
            </w:r>
          </w:p>
        </w:tc>
        <w:tc>
          <w:tcPr>
            <w:tcW w:w="1080" w:type="dxa"/>
            <w:tcBorders>
              <w:left w:val="single" w:sz="4" w:space="0" w:color="000000"/>
              <w:bottom w:val="single" w:sz="4" w:space="0" w:color="000000"/>
            </w:tcBorders>
            <w:shd w:val="clear" w:color="auto" w:fill="auto"/>
          </w:tcPr>
          <w:p w:rsidR="00720A96" w:rsidRPr="004A640F" w:rsidRDefault="004A640F">
            <w:pPr>
              <w:snapToGrid w:val="0"/>
              <w:jc w:val="right"/>
              <w:rPr>
                <w:sz w:val="20"/>
                <w:szCs w:val="20"/>
                <w:lang w:val="sr-Cyrl-BA"/>
              </w:rPr>
            </w:pPr>
            <w:r>
              <w:rPr>
                <w:sz w:val="20"/>
                <w:szCs w:val="20"/>
                <w:lang w:val="sr-Cyrl-BA"/>
              </w:rPr>
              <w:t>11,8</w:t>
            </w:r>
          </w:p>
        </w:tc>
        <w:tc>
          <w:tcPr>
            <w:tcW w:w="1127" w:type="dxa"/>
            <w:tcBorders>
              <w:left w:val="single" w:sz="4" w:space="0" w:color="000000"/>
              <w:bottom w:val="single" w:sz="4" w:space="0" w:color="000000"/>
              <w:right w:val="single" w:sz="4" w:space="0" w:color="000000"/>
            </w:tcBorders>
            <w:shd w:val="clear" w:color="auto" w:fill="auto"/>
          </w:tcPr>
          <w:p w:rsidR="00720A96" w:rsidRPr="004A640F" w:rsidRDefault="004A640F">
            <w:pPr>
              <w:snapToGrid w:val="0"/>
              <w:jc w:val="right"/>
              <w:rPr>
                <w:sz w:val="20"/>
                <w:szCs w:val="20"/>
                <w:lang w:val="sr-Cyrl-BA"/>
              </w:rPr>
            </w:pPr>
            <w:r>
              <w:rPr>
                <w:sz w:val="20"/>
                <w:szCs w:val="20"/>
                <w:lang w:val="sr-Cyrl-BA"/>
              </w:rPr>
              <w:t>12,2</w:t>
            </w:r>
          </w:p>
        </w:tc>
      </w:tr>
      <w:tr w:rsidR="00720A96" w:rsidTr="008622FE">
        <w:trPr>
          <w:trHeight w:val="255"/>
        </w:trPr>
        <w:tc>
          <w:tcPr>
            <w:tcW w:w="2760" w:type="dxa"/>
            <w:tcBorders>
              <w:left w:val="single" w:sz="4" w:space="0" w:color="000000"/>
              <w:bottom w:val="single" w:sz="4" w:space="0" w:color="000000"/>
            </w:tcBorders>
            <w:shd w:val="clear" w:color="auto" w:fill="auto"/>
          </w:tcPr>
          <w:p w:rsidR="00720A96" w:rsidRDefault="00720A96">
            <w:pPr>
              <w:snapToGrid w:val="0"/>
              <w:jc w:val="both"/>
              <w:rPr>
                <w:b/>
                <w:i/>
                <w:sz w:val="20"/>
                <w:szCs w:val="20"/>
                <w:lang w:val="sr-Cyrl-BA"/>
              </w:rPr>
            </w:pPr>
            <w:r>
              <w:rPr>
                <w:b/>
                <w:i/>
                <w:sz w:val="20"/>
                <w:szCs w:val="20"/>
                <w:lang w:val="hr-HR"/>
              </w:rPr>
              <w:t>II</w:t>
            </w:r>
            <w:r>
              <w:rPr>
                <w:b/>
                <w:i/>
                <w:sz w:val="20"/>
                <w:szCs w:val="20"/>
                <w:lang w:val="sr-Cyrl-BA"/>
              </w:rPr>
              <w:t>. Непорески приходи</w:t>
            </w:r>
          </w:p>
        </w:tc>
        <w:tc>
          <w:tcPr>
            <w:tcW w:w="1320" w:type="dxa"/>
            <w:tcBorders>
              <w:left w:val="single" w:sz="4" w:space="0" w:color="000000"/>
              <w:bottom w:val="single" w:sz="4" w:space="0" w:color="000000"/>
            </w:tcBorders>
            <w:shd w:val="clear" w:color="auto" w:fill="auto"/>
          </w:tcPr>
          <w:p w:rsidR="00720A96" w:rsidRPr="004D5C69" w:rsidRDefault="004D5C69">
            <w:pPr>
              <w:snapToGrid w:val="0"/>
              <w:jc w:val="right"/>
              <w:rPr>
                <w:b/>
                <w:i/>
                <w:sz w:val="20"/>
                <w:szCs w:val="20"/>
                <w:lang w:val="sr-Cyrl-BA"/>
              </w:rPr>
            </w:pPr>
            <w:r>
              <w:rPr>
                <w:b/>
                <w:i/>
                <w:sz w:val="20"/>
                <w:szCs w:val="20"/>
                <w:lang w:val="sr-Cyrl-BA"/>
              </w:rPr>
              <w:t>228,2</w:t>
            </w:r>
          </w:p>
        </w:tc>
        <w:tc>
          <w:tcPr>
            <w:tcW w:w="1200" w:type="dxa"/>
            <w:tcBorders>
              <w:left w:val="single" w:sz="4" w:space="0" w:color="000000"/>
              <w:bottom w:val="single" w:sz="4" w:space="0" w:color="000000"/>
            </w:tcBorders>
            <w:shd w:val="clear" w:color="auto" w:fill="auto"/>
          </w:tcPr>
          <w:p w:rsidR="00720A96" w:rsidRPr="007C779A" w:rsidRDefault="004D5C69">
            <w:pPr>
              <w:snapToGrid w:val="0"/>
              <w:jc w:val="right"/>
              <w:rPr>
                <w:b/>
                <w:i/>
                <w:sz w:val="20"/>
                <w:szCs w:val="20"/>
                <w:lang w:val="sr-Cyrl-BA"/>
              </w:rPr>
            </w:pPr>
            <w:r>
              <w:rPr>
                <w:b/>
                <w:i/>
                <w:sz w:val="20"/>
                <w:szCs w:val="20"/>
                <w:lang w:val="sr-Cyrl-BA"/>
              </w:rPr>
              <w:t>282,0</w:t>
            </w:r>
          </w:p>
        </w:tc>
        <w:tc>
          <w:tcPr>
            <w:tcW w:w="1080" w:type="dxa"/>
            <w:tcBorders>
              <w:left w:val="single" w:sz="4" w:space="0" w:color="000000"/>
              <w:bottom w:val="single" w:sz="4" w:space="0" w:color="000000"/>
            </w:tcBorders>
            <w:shd w:val="clear" w:color="auto" w:fill="auto"/>
          </w:tcPr>
          <w:p w:rsidR="00720A96" w:rsidRPr="004A640F" w:rsidRDefault="00855610">
            <w:pPr>
              <w:snapToGrid w:val="0"/>
              <w:jc w:val="right"/>
              <w:rPr>
                <w:b/>
                <w:i/>
                <w:sz w:val="20"/>
                <w:szCs w:val="20"/>
                <w:lang w:val="sr-Cyrl-BA"/>
              </w:rPr>
            </w:pPr>
            <w:r>
              <w:rPr>
                <w:b/>
                <w:i/>
                <w:sz w:val="20"/>
                <w:szCs w:val="20"/>
              </w:rPr>
              <w:t>2</w:t>
            </w:r>
            <w:r w:rsidR="004A640F">
              <w:rPr>
                <w:b/>
                <w:i/>
                <w:sz w:val="20"/>
                <w:szCs w:val="20"/>
                <w:lang w:val="sr-Cyrl-BA"/>
              </w:rPr>
              <w:t>50,9</w:t>
            </w:r>
          </w:p>
        </w:tc>
        <w:tc>
          <w:tcPr>
            <w:tcW w:w="1080" w:type="dxa"/>
            <w:tcBorders>
              <w:left w:val="single" w:sz="4" w:space="0" w:color="000000"/>
              <w:bottom w:val="single" w:sz="4" w:space="0" w:color="000000"/>
            </w:tcBorders>
            <w:shd w:val="clear" w:color="auto" w:fill="auto"/>
          </w:tcPr>
          <w:p w:rsidR="00720A96" w:rsidRPr="004A640F" w:rsidRDefault="004A640F">
            <w:pPr>
              <w:snapToGrid w:val="0"/>
              <w:jc w:val="right"/>
              <w:rPr>
                <w:b/>
                <w:i/>
                <w:sz w:val="20"/>
                <w:szCs w:val="20"/>
                <w:lang w:val="sr-Cyrl-BA"/>
              </w:rPr>
            </w:pPr>
            <w:r>
              <w:rPr>
                <w:b/>
                <w:i/>
                <w:sz w:val="20"/>
                <w:szCs w:val="20"/>
                <w:lang w:val="sr-Cyrl-BA"/>
              </w:rPr>
              <w:t>259,9</w:t>
            </w:r>
          </w:p>
        </w:tc>
        <w:tc>
          <w:tcPr>
            <w:tcW w:w="1127" w:type="dxa"/>
            <w:tcBorders>
              <w:left w:val="single" w:sz="4" w:space="0" w:color="000000"/>
              <w:bottom w:val="single" w:sz="4" w:space="0" w:color="000000"/>
              <w:right w:val="single" w:sz="4" w:space="0" w:color="000000"/>
            </w:tcBorders>
            <w:shd w:val="clear" w:color="auto" w:fill="auto"/>
          </w:tcPr>
          <w:p w:rsidR="00720A96" w:rsidRPr="004A640F" w:rsidRDefault="004A640F">
            <w:pPr>
              <w:snapToGrid w:val="0"/>
              <w:jc w:val="right"/>
              <w:rPr>
                <w:b/>
                <w:i/>
                <w:sz w:val="20"/>
                <w:szCs w:val="20"/>
                <w:lang w:val="sr-Cyrl-BA"/>
              </w:rPr>
            </w:pPr>
            <w:r>
              <w:rPr>
                <w:b/>
                <w:i/>
                <w:sz w:val="20"/>
                <w:szCs w:val="20"/>
                <w:lang w:val="sr-Cyrl-BA"/>
              </w:rPr>
              <w:t>268,7</w:t>
            </w:r>
          </w:p>
        </w:tc>
      </w:tr>
      <w:tr w:rsidR="00720A96" w:rsidTr="008622FE">
        <w:trPr>
          <w:trHeight w:val="255"/>
        </w:trPr>
        <w:tc>
          <w:tcPr>
            <w:tcW w:w="2760" w:type="dxa"/>
            <w:tcBorders>
              <w:left w:val="single" w:sz="4" w:space="0" w:color="000000"/>
              <w:bottom w:val="single" w:sz="4" w:space="0" w:color="000000"/>
            </w:tcBorders>
            <w:shd w:val="clear" w:color="auto" w:fill="auto"/>
          </w:tcPr>
          <w:p w:rsidR="00720A96" w:rsidRPr="008622FE" w:rsidRDefault="008622FE">
            <w:pPr>
              <w:snapToGrid w:val="0"/>
              <w:jc w:val="both"/>
              <w:rPr>
                <w:b/>
                <w:sz w:val="20"/>
                <w:szCs w:val="20"/>
              </w:rPr>
            </w:pPr>
            <w:r w:rsidRPr="008622FE">
              <w:rPr>
                <w:b/>
                <w:sz w:val="20"/>
                <w:szCs w:val="20"/>
                <w:lang w:val="sr-Cyrl-BA"/>
              </w:rPr>
              <w:t>III Грантови</w:t>
            </w:r>
          </w:p>
        </w:tc>
        <w:tc>
          <w:tcPr>
            <w:tcW w:w="1320" w:type="dxa"/>
            <w:tcBorders>
              <w:left w:val="single" w:sz="4" w:space="0" w:color="000000"/>
              <w:bottom w:val="single" w:sz="4" w:space="0" w:color="000000"/>
            </w:tcBorders>
            <w:shd w:val="clear" w:color="auto" w:fill="auto"/>
          </w:tcPr>
          <w:p w:rsidR="00720A96" w:rsidRPr="007C779A" w:rsidRDefault="004D5C69">
            <w:pPr>
              <w:snapToGrid w:val="0"/>
              <w:jc w:val="right"/>
              <w:rPr>
                <w:b/>
                <w:sz w:val="20"/>
                <w:szCs w:val="20"/>
                <w:lang w:val="sr-Cyrl-BA"/>
              </w:rPr>
            </w:pPr>
            <w:r>
              <w:rPr>
                <w:b/>
                <w:sz w:val="20"/>
                <w:szCs w:val="20"/>
                <w:lang w:val="sr-Cyrl-BA"/>
              </w:rPr>
              <w:t>32,1</w:t>
            </w:r>
          </w:p>
        </w:tc>
        <w:tc>
          <w:tcPr>
            <w:tcW w:w="1200" w:type="dxa"/>
            <w:tcBorders>
              <w:left w:val="single" w:sz="4" w:space="0" w:color="000000"/>
              <w:bottom w:val="single" w:sz="4" w:space="0" w:color="000000"/>
            </w:tcBorders>
            <w:shd w:val="clear" w:color="auto" w:fill="auto"/>
          </w:tcPr>
          <w:p w:rsidR="00720A96" w:rsidRPr="007C779A" w:rsidRDefault="004D5C69" w:rsidP="00FB49A7">
            <w:pPr>
              <w:snapToGrid w:val="0"/>
              <w:jc w:val="right"/>
              <w:rPr>
                <w:b/>
                <w:sz w:val="20"/>
                <w:szCs w:val="20"/>
                <w:lang w:val="sr-Cyrl-BA"/>
              </w:rPr>
            </w:pPr>
            <w:r>
              <w:rPr>
                <w:b/>
                <w:sz w:val="20"/>
                <w:szCs w:val="20"/>
                <w:lang w:val="sr-Cyrl-BA"/>
              </w:rPr>
              <w:t>14,9</w:t>
            </w:r>
          </w:p>
        </w:tc>
        <w:tc>
          <w:tcPr>
            <w:tcW w:w="1080" w:type="dxa"/>
            <w:tcBorders>
              <w:left w:val="single" w:sz="4" w:space="0" w:color="000000"/>
              <w:bottom w:val="single" w:sz="4" w:space="0" w:color="000000"/>
            </w:tcBorders>
            <w:shd w:val="clear" w:color="auto" w:fill="auto"/>
          </w:tcPr>
          <w:p w:rsidR="00720A96" w:rsidRPr="00855610" w:rsidRDefault="004A640F">
            <w:pPr>
              <w:snapToGrid w:val="0"/>
              <w:jc w:val="right"/>
              <w:rPr>
                <w:b/>
                <w:sz w:val="20"/>
                <w:szCs w:val="20"/>
                <w:lang w:val="sr-Cyrl-BA"/>
              </w:rPr>
            </w:pPr>
            <w:r>
              <w:rPr>
                <w:b/>
                <w:sz w:val="20"/>
                <w:szCs w:val="20"/>
                <w:lang w:val="sr-Cyrl-BA"/>
              </w:rPr>
              <w:t>10,4</w:t>
            </w:r>
          </w:p>
        </w:tc>
        <w:tc>
          <w:tcPr>
            <w:tcW w:w="1080" w:type="dxa"/>
            <w:tcBorders>
              <w:left w:val="single" w:sz="4" w:space="0" w:color="000000"/>
              <w:bottom w:val="single" w:sz="4" w:space="0" w:color="000000"/>
            </w:tcBorders>
            <w:shd w:val="clear" w:color="auto" w:fill="auto"/>
          </w:tcPr>
          <w:p w:rsidR="00720A96" w:rsidRPr="004A640F" w:rsidRDefault="004A640F">
            <w:pPr>
              <w:snapToGrid w:val="0"/>
              <w:jc w:val="right"/>
              <w:rPr>
                <w:b/>
                <w:sz w:val="20"/>
                <w:szCs w:val="20"/>
                <w:lang w:val="sr-Cyrl-BA"/>
              </w:rPr>
            </w:pPr>
            <w:r>
              <w:rPr>
                <w:b/>
                <w:sz w:val="20"/>
                <w:szCs w:val="20"/>
                <w:lang w:val="sr-Cyrl-BA"/>
              </w:rPr>
              <w:t>9,2</w:t>
            </w:r>
          </w:p>
        </w:tc>
        <w:tc>
          <w:tcPr>
            <w:tcW w:w="1127" w:type="dxa"/>
            <w:tcBorders>
              <w:left w:val="single" w:sz="4" w:space="0" w:color="000000"/>
              <w:bottom w:val="single" w:sz="4" w:space="0" w:color="000000"/>
              <w:right w:val="single" w:sz="4" w:space="0" w:color="000000"/>
            </w:tcBorders>
            <w:shd w:val="clear" w:color="auto" w:fill="auto"/>
          </w:tcPr>
          <w:p w:rsidR="00720A96" w:rsidRPr="004A640F" w:rsidRDefault="004A640F">
            <w:pPr>
              <w:snapToGrid w:val="0"/>
              <w:jc w:val="right"/>
              <w:rPr>
                <w:b/>
                <w:sz w:val="20"/>
                <w:szCs w:val="20"/>
                <w:lang w:val="sr-Cyrl-BA"/>
              </w:rPr>
            </w:pPr>
            <w:r>
              <w:rPr>
                <w:b/>
                <w:sz w:val="20"/>
                <w:szCs w:val="20"/>
                <w:lang w:val="sr-Cyrl-BA"/>
              </w:rPr>
              <w:t>8,0</w:t>
            </w:r>
          </w:p>
        </w:tc>
      </w:tr>
      <w:tr w:rsidR="00720A96" w:rsidTr="008622FE">
        <w:trPr>
          <w:trHeight w:val="255"/>
        </w:trPr>
        <w:tc>
          <w:tcPr>
            <w:tcW w:w="2760" w:type="dxa"/>
            <w:tcBorders>
              <w:left w:val="single" w:sz="4" w:space="0" w:color="000000"/>
              <w:bottom w:val="single" w:sz="4" w:space="0" w:color="000000"/>
            </w:tcBorders>
            <w:shd w:val="clear" w:color="auto" w:fill="auto"/>
          </w:tcPr>
          <w:p w:rsidR="00720A96" w:rsidRPr="008622FE" w:rsidRDefault="008622FE" w:rsidP="008622FE">
            <w:pPr>
              <w:snapToGrid w:val="0"/>
              <w:jc w:val="both"/>
              <w:rPr>
                <w:b/>
                <w:sz w:val="20"/>
                <w:szCs w:val="20"/>
                <w:lang w:val="sr-Cyrl-BA"/>
              </w:rPr>
            </w:pPr>
            <w:r w:rsidRPr="008622FE">
              <w:rPr>
                <w:b/>
                <w:sz w:val="20"/>
                <w:szCs w:val="20"/>
                <w:lang w:val="sr-Cyrl-BA"/>
              </w:rPr>
              <w:t>IV Трансфери</w:t>
            </w:r>
          </w:p>
        </w:tc>
        <w:tc>
          <w:tcPr>
            <w:tcW w:w="1320" w:type="dxa"/>
            <w:tcBorders>
              <w:left w:val="single" w:sz="4" w:space="0" w:color="000000"/>
              <w:bottom w:val="single" w:sz="4" w:space="0" w:color="000000"/>
            </w:tcBorders>
            <w:shd w:val="clear" w:color="auto" w:fill="auto"/>
          </w:tcPr>
          <w:p w:rsidR="00720A96" w:rsidRPr="007C779A" w:rsidRDefault="004D5C69">
            <w:pPr>
              <w:snapToGrid w:val="0"/>
              <w:jc w:val="right"/>
              <w:rPr>
                <w:b/>
                <w:sz w:val="20"/>
                <w:szCs w:val="20"/>
                <w:lang w:val="sr-Cyrl-BA"/>
              </w:rPr>
            </w:pPr>
            <w:r>
              <w:rPr>
                <w:b/>
                <w:sz w:val="20"/>
                <w:szCs w:val="20"/>
                <w:lang w:val="sr-Cyrl-BA"/>
              </w:rPr>
              <w:t>78,8</w:t>
            </w:r>
          </w:p>
        </w:tc>
        <w:tc>
          <w:tcPr>
            <w:tcW w:w="1200" w:type="dxa"/>
            <w:tcBorders>
              <w:left w:val="single" w:sz="4" w:space="0" w:color="000000"/>
              <w:bottom w:val="single" w:sz="4" w:space="0" w:color="000000"/>
            </w:tcBorders>
            <w:shd w:val="clear" w:color="auto" w:fill="auto"/>
          </w:tcPr>
          <w:p w:rsidR="00720A96" w:rsidRPr="007C779A" w:rsidRDefault="004D5C69">
            <w:pPr>
              <w:snapToGrid w:val="0"/>
              <w:jc w:val="right"/>
              <w:rPr>
                <w:b/>
                <w:sz w:val="20"/>
                <w:szCs w:val="20"/>
                <w:lang w:val="sr-Cyrl-BA"/>
              </w:rPr>
            </w:pPr>
            <w:r>
              <w:rPr>
                <w:b/>
                <w:sz w:val="20"/>
                <w:szCs w:val="20"/>
                <w:lang w:val="sr-Cyrl-BA"/>
              </w:rPr>
              <w:t>90,4</w:t>
            </w:r>
          </w:p>
        </w:tc>
        <w:tc>
          <w:tcPr>
            <w:tcW w:w="1080" w:type="dxa"/>
            <w:tcBorders>
              <w:left w:val="single" w:sz="4" w:space="0" w:color="000000"/>
              <w:bottom w:val="single" w:sz="4" w:space="0" w:color="000000"/>
            </w:tcBorders>
            <w:shd w:val="clear" w:color="auto" w:fill="auto"/>
          </w:tcPr>
          <w:p w:rsidR="00720A96" w:rsidRPr="00855610" w:rsidRDefault="004A640F" w:rsidP="006B7075">
            <w:pPr>
              <w:snapToGrid w:val="0"/>
              <w:jc w:val="right"/>
              <w:rPr>
                <w:b/>
                <w:sz w:val="20"/>
                <w:szCs w:val="20"/>
                <w:lang w:val="sr-Cyrl-BA"/>
              </w:rPr>
            </w:pPr>
            <w:r>
              <w:rPr>
                <w:b/>
                <w:sz w:val="20"/>
                <w:szCs w:val="20"/>
                <w:lang w:val="sr-Cyrl-BA"/>
              </w:rPr>
              <w:t>68,6</w:t>
            </w:r>
          </w:p>
        </w:tc>
        <w:tc>
          <w:tcPr>
            <w:tcW w:w="1080" w:type="dxa"/>
            <w:tcBorders>
              <w:left w:val="single" w:sz="4" w:space="0" w:color="000000"/>
              <w:bottom w:val="single" w:sz="4" w:space="0" w:color="000000"/>
            </w:tcBorders>
            <w:shd w:val="clear" w:color="auto" w:fill="auto"/>
          </w:tcPr>
          <w:p w:rsidR="00720A96" w:rsidRPr="004A640F" w:rsidRDefault="004A640F">
            <w:pPr>
              <w:snapToGrid w:val="0"/>
              <w:jc w:val="right"/>
              <w:rPr>
                <w:b/>
                <w:sz w:val="20"/>
                <w:szCs w:val="20"/>
                <w:lang w:val="sr-Cyrl-BA"/>
              </w:rPr>
            </w:pPr>
            <w:r>
              <w:rPr>
                <w:b/>
                <w:sz w:val="20"/>
                <w:szCs w:val="20"/>
                <w:lang w:val="sr-Cyrl-BA"/>
              </w:rPr>
              <w:t>68,7</w:t>
            </w:r>
          </w:p>
        </w:tc>
        <w:tc>
          <w:tcPr>
            <w:tcW w:w="1127" w:type="dxa"/>
            <w:tcBorders>
              <w:left w:val="single" w:sz="4" w:space="0" w:color="000000"/>
              <w:bottom w:val="single" w:sz="4" w:space="0" w:color="000000"/>
              <w:right w:val="single" w:sz="4" w:space="0" w:color="000000"/>
            </w:tcBorders>
            <w:shd w:val="clear" w:color="auto" w:fill="auto"/>
          </w:tcPr>
          <w:p w:rsidR="00720A96" w:rsidRPr="004A640F" w:rsidRDefault="004A640F">
            <w:pPr>
              <w:snapToGrid w:val="0"/>
              <w:jc w:val="right"/>
              <w:rPr>
                <w:b/>
                <w:sz w:val="20"/>
                <w:szCs w:val="20"/>
                <w:lang w:val="sr-Cyrl-BA"/>
              </w:rPr>
            </w:pPr>
            <w:r>
              <w:rPr>
                <w:b/>
                <w:sz w:val="20"/>
                <w:szCs w:val="20"/>
                <w:lang w:val="sr-Cyrl-BA"/>
              </w:rPr>
              <w:t>73,7</w:t>
            </w:r>
          </w:p>
        </w:tc>
      </w:tr>
      <w:tr w:rsidR="00720A96" w:rsidTr="008622FE">
        <w:trPr>
          <w:trHeight w:val="255"/>
        </w:trPr>
        <w:tc>
          <w:tcPr>
            <w:tcW w:w="2760" w:type="dxa"/>
            <w:tcBorders>
              <w:left w:val="single" w:sz="4" w:space="0" w:color="000000"/>
              <w:bottom w:val="single" w:sz="4" w:space="0" w:color="000000"/>
            </w:tcBorders>
            <w:shd w:val="clear" w:color="auto" w:fill="auto"/>
          </w:tcPr>
          <w:p w:rsidR="00720A96" w:rsidRDefault="00720A96">
            <w:pPr>
              <w:snapToGrid w:val="0"/>
              <w:jc w:val="both"/>
              <w:rPr>
                <w:b/>
                <w:sz w:val="20"/>
                <w:szCs w:val="20"/>
                <w:lang w:val="sr-Cyrl-BA"/>
              </w:rPr>
            </w:pPr>
            <w:r>
              <w:rPr>
                <w:b/>
                <w:sz w:val="20"/>
                <w:szCs w:val="20"/>
                <w:lang w:val="sr-Cyrl-BA"/>
              </w:rPr>
              <w:t>Укупни порески и непорески приходи</w:t>
            </w:r>
          </w:p>
        </w:tc>
        <w:tc>
          <w:tcPr>
            <w:tcW w:w="1320" w:type="dxa"/>
            <w:tcBorders>
              <w:left w:val="single" w:sz="4" w:space="0" w:color="000000"/>
              <w:bottom w:val="single" w:sz="4" w:space="0" w:color="000000"/>
            </w:tcBorders>
            <w:shd w:val="clear" w:color="auto" w:fill="auto"/>
          </w:tcPr>
          <w:p w:rsidR="00720A96" w:rsidRPr="007C779A" w:rsidRDefault="00F15CE8">
            <w:pPr>
              <w:snapToGrid w:val="0"/>
              <w:jc w:val="right"/>
              <w:rPr>
                <w:b/>
                <w:sz w:val="20"/>
                <w:szCs w:val="20"/>
                <w:lang w:val="sr-Cyrl-BA"/>
              </w:rPr>
            </w:pPr>
            <w:r>
              <w:rPr>
                <w:b/>
                <w:sz w:val="20"/>
                <w:szCs w:val="20"/>
                <w:lang w:val="sr-Cyrl-BA"/>
              </w:rPr>
              <w:t>829,7</w:t>
            </w:r>
          </w:p>
        </w:tc>
        <w:tc>
          <w:tcPr>
            <w:tcW w:w="1200" w:type="dxa"/>
            <w:tcBorders>
              <w:left w:val="single" w:sz="4" w:space="0" w:color="000000"/>
              <w:bottom w:val="single" w:sz="4" w:space="0" w:color="000000"/>
            </w:tcBorders>
            <w:shd w:val="clear" w:color="auto" w:fill="auto"/>
          </w:tcPr>
          <w:p w:rsidR="00720A96" w:rsidRPr="007C779A" w:rsidRDefault="00F15CE8">
            <w:pPr>
              <w:snapToGrid w:val="0"/>
              <w:jc w:val="right"/>
              <w:rPr>
                <w:b/>
                <w:sz w:val="20"/>
                <w:szCs w:val="20"/>
                <w:lang w:val="sr-Cyrl-BA"/>
              </w:rPr>
            </w:pPr>
            <w:r>
              <w:rPr>
                <w:b/>
                <w:sz w:val="20"/>
                <w:szCs w:val="20"/>
                <w:lang w:val="sr-Cyrl-BA"/>
              </w:rPr>
              <w:t>949,4</w:t>
            </w:r>
          </w:p>
        </w:tc>
        <w:tc>
          <w:tcPr>
            <w:tcW w:w="1080" w:type="dxa"/>
            <w:tcBorders>
              <w:left w:val="single" w:sz="4" w:space="0" w:color="000000"/>
              <w:bottom w:val="single" w:sz="4" w:space="0" w:color="000000"/>
            </w:tcBorders>
            <w:shd w:val="clear" w:color="auto" w:fill="auto"/>
          </w:tcPr>
          <w:p w:rsidR="00720A96" w:rsidRPr="00EE1365" w:rsidRDefault="00F15CE8">
            <w:pPr>
              <w:snapToGrid w:val="0"/>
              <w:jc w:val="right"/>
              <w:rPr>
                <w:b/>
                <w:sz w:val="20"/>
                <w:szCs w:val="20"/>
                <w:lang w:val="sr-Latn-BA"/>
              </w:rPr>
            </w:pPr>
            <w:r>
              <w:rPr>
                <w:b/>
                <w:sz w:val="20"/>
                <w:szCs w:val="20"/>
                <w:lang w:val="sr-Cyrl-BA"/>
              </w:rPr>
              <w:t>905,3</w:t>
            </w:r>
          </w:p>
        </w:tc>
        <w:tc>
          <w:tcPr>
            <w:tcW w:w="1080" w:type="dxa"/>
            <w:tcBorders>
              <w:left w:val="single" w:sz="4" w:space="0" w:color="000000"/>
              <w:bottom w:val="single" w:sz="4" w:space="0" w:color="000000"/>
            </w:tcBorders>
            <w:shd w:val="clear" w:color="auto" w:fill="auto"/>
          </w:tcPr>
          <w:p w:rsidR="00720A96" w:rsidRPr="00F15CE8" w:rsidRDefault="00F15CE8">
            <w:pPr>
              <w:snapToGrid w:val="0"/>
              <w:jc w:val="right"/>
              <w:rPr>
                <w:b/>
                <w:sz w:val="20"/>
                <w:szCs w:val="20"/>
                <w:lang w:val="sr-Cyrl-BA"/>
              </w:rPr>
            </w:pPr>
            <w:r>
              <w:rPr>
                <w:b/>
                <w:sz w:val="20"/>
                <w:szCs w:val="20"/>
                <w:lang w:val="sr-Cyrl-BA"/>
              </w:rPr>
              <w:t>929,6</w:t>
            </w:r>
          </w:p>
        </w:tc>
        <w:tc>
          <w:tcPr>
            <w:tcW w:w="1127" w:type="dxa"/>
            <w:tcBorders>
              <w:left w:val="single" w:sz="4" w:space="0" w:color="000000"/>
              <w:bottom w:val="single" w:sz="4" w:space="0" w:color="000000"/>
              <w:right w:val="single" w:sz="4" w:space="0" w:color="000000"/>
            </w:tcBorders>
            <w:shd w:val="clear" w:color="auto" w:fill="auto"/>
          </w:tcPr>
          <w:p w:rsidR="00720A96" w:rsidRPr="00F15CE8" w:rsidRDefault="00F15CE8">
            <w:pPr>
              <w:snapToGrid w:val="0"/>
              <w:jc w:val="right"/>
              <w:rPr>
                <w:b/>
                <w:sz w:val="20"/>
                <w:szCs w:val="20"/>
                <w:lang w:val="sr-Cyrl-BA"/>
              </w:rPr>
            </w:pPr>
            <w:r>
              <w:rPr>
                <w:b/>
                <w:sz w:val="20"/>
                <w:szCs w:val="20"/>
                <w:lang w:val="sr-Cyrl-BA"/>
              </w:rPr>
              <w:t>981,4</w:t>
            </w:r>
          </w:p>
        </w:tc>
      </w:tr>
    </w:tbl>
    <w:p w:rsidR="00720A96" w:rsidRDefault="00720A96">
      <w:pPr>
        <w:jc w:val="both"/>
      </w:pPr>
    </w:p>
    <w:p w:rsidR="00720A96" w:rsidRPr="006B7075" w:rsidRDefault="00720A96" w:rsidP="00F55E05">
      <w:pPr>
        <w:ind w:firstLine="720"/>
        <w:jc w:val="both"/>
        <w:rPr>
          <w:lang w:val="sr-Latn-BA"/>
        </w:rPr>
      </w:pPr>
      <w:r>
        <w:rPr>
          <w:lang w:val="sr-Cyrl-BA"/>
        </w:rPr>
        <w:t>У процјени заједничких прихода од индиректних поре</w:t>
      </w:r>
      <w:r w:rsidR="00CB1300">
        <w:rPr>
          <w:lang w:val="sr-Cyrl-BA"/>
        </w:rPr>
        <w:t>за за расподјелу општинама у 20</w:t>
      </w:r>
      <w:r w:rsidR="00D80D09">
        <w:rPr>
          <w:lang w:val="sr-Latn-BA"/>
        </w:rPr>
        <w:t>2</w:t>
      </w:r>
      <w:r w:rsidR="00EC44C0">
        <w:rPr>
          <w:lang w:val="sr-Latn-BA"/>
        </w:rPr>
        <w:t>3</w:t>
      </w:r>
      <w:r>
        <w:rPr>
          <w:lang w:val="sr-Cyrl-BA"/>
        </w:rPr>
        <w:t xml:space="preserve">. </w:t>
      </w:r>
      <w:r w:rsidR="00D80D09">
        <w:rPr>
          <w:lang w:val="sr-Cyrl-BA"/>
        </w:rPr>
        <w:t>г</w:t>
      </w:r>
      <w:r>
        <w:rPr>
          <w:lang w:val="sr-Cyrl-BA"/>
        </w:rPr>
        <w:t>одини</w:t>
      </w:r>
      <w:r w:rsidR="00CB1300">
        <w:rPr>
          <w:lang w:val="sr-Latn-BA"/>
        </w:rPr>
        <w:t xml:space="preserve"> по процјени</w:t>
      </w:r>
      <w:r>
        <w:rPr>
          <w:lang w:val="sr-Cyrl-BA"/>
        </w:rPr>
        <w:t xml:space="preserve"> припада износ од </w:t>
      </w:r>
      <w:r w:rsidR="00EC44C0">
        <w:rPr>
          <w:lang w:val="sr-Latn-BA"/>
        </w:rPr>
        <w:t>474</w:t>
      </w:r>
      <w:r w:rsidR="00EC44C0">
        <w:rPr>
          <w:lang w:val="sr-Cyrl-BA"/>
        </w:rPr>
        <w:t>,</w:t>
      </w:r>
      <w:r w:rsidR="00EC44C0">
        <w:rPr>
          <w:lang w:val="sr-Latn-BA"/>
        </w:rPr>
        <w:t>3</w:t>
      </w:r>
      <w:r w:rsidR="00CB1300">
        <w:rPr>
          <w:lang w:val="sr-Cyrl-BA"/>
        </w:rPr>
        <w:t xml:space="preserve"> милиона</w:t>
      </w:r>
      <w:r w:rsidR="00D80D09">
        <w:rPr>
          <w:lang w:val="sr-Cyrl-BA"/>
        </w:rPr>
        <w:t xml:space="preserve"> КМ, што представља раст</w:t>
      </w:r>
      <w:r>
        <w:rPr>
          <w:lang w:val="sr-Cyrl-BA"/>
        </w:rPr>
        <w:t xml:space="preserve"> од </w:t>
      </w:r>
      <w:r w:rsidR="000752FC">
        <w:rPr>
          <w:lang w:val="sr-Latn-BA"/>
        </w:rPr>
        <w:t>0,2</w:t>
      </w:r>
      <w:r>
        <w:rPr>
          <w:lang w:val="sr-Cyrl-BA"/>
        </w:rPr>
        <w:t>% у поређењу са 20</w:t>
      </w:r>
      <w:r w:rsidR="000752FC">
        <w:rPr>
          <w:lang w:val="sr-Cyrl-CS"/>
        </w:rPr>
        <w:t>2</w:t>
      </w:r>
      <w:r w:rsidR="000752FC">
        <w:rPr>
          <w:lang w:val="sr-Latn-BA"/>
        </w:rPr>
        <w:t>2</w:t>
      </w:r>
      <w:r w:rsidR="00C64029">
        <w:rPr>
          <w:lang w:val="sr-Cyrl-BA"/>
        </w:rPr>
        <w:t>.</w:t>
      </w:r>
      <w:r>
        <w:rPr>
          <w:lang w:val="sr-Cyrl-BA"/>
        </w:rPr>
        <w:t>годином.</w:t>
      </w:r>
    </w:p>
    <w:p w:rsidR="00720A96" w:rsidRPr="00B64D86" w:rsidRDefault="00720A96">
      <w:pPr>
        <w:jc w:val="both"/>
        <w:rPr>
          <w:lang w:val="ru-RU"/>
        </w:rPr>
      </w:pPr>
    </w:p>
    <w:p w:rsidR="00F55E05" w:rsidRDefault="00720A96" w:rsidP="00F55E05">
      <w:pPr>
        <w:ind w:firstLine="720"/>
        <w:jc w:val="both"/>
        <w:rPr>
          <w:lang w:val="sr-Cyrl-CS"/>
        </w:rPr>
      </w:pPr>
      <w:r>
        <w:rPr>
          <w:lang w:val="sr-Cyrl-BA"/>
        </w:rPr>
        <w:t>Порез на</w:t>
      </w:r>
      <w:r w:rsidR="009A7A6F">
        <w:rPr>
          <w:lang w:val="sr-Latn-BA"/>
        </w:rPr>
        <w:t xml:space="preserve"> лична примања и приходе од самосталних дјелатности</w:t>
      </w:r>
      <w:r w:rsidR="009A7A6F">
        <w:rPr>
          <w:lang w:val="sr-Cyrl-BA"/>
        </w:rPr>
        <w:t xml:space="preserve"> </w:t>
      </w:r>
      <w:r>
        <w:rPr>
          <w:lang w:val="sr-Cyrl-BA"/>
        </w:rPr>
        <w:t xml:space="preserve"> се дијели између РС и општина на основу Закона о буџетском систему РС, при чему општинама припада 25% прихода.</w:t>
      </w:r>
    </w:p>
    <w:p w:rsidR="00720A96" w:rsidRPr="00F55E05" w:rsidRDefault="00720A96" w:rsidP="00F55E05">
      <w:pPr>
        <w:ind w:firstLine="720"/>
        <w:jc w:val="both"/>
        <w:rPr>
          <w:lang w:val="sr-Cyrl-CS"/>
        </w:rPr>
      </w:pPr>
      <w:r>
        <w:rPr>
          <w:lang w:val="sr-Cyrl-BA"/>
        </w:rPr>
        <w:t>Процјена</w:t>
      </w:r>
      <w:r w:rsidR="009A7A6F">
        <w:rPr>
          <w:lang w:val="sr-Cyrl-BA"/>
        </w:rPr>
        <w:t xml:space="preserve"> порез на</w:t>
      </w:r>
      <w:r w:rsidR="009A7A6F">
        <w:rPr>
          <w:lang w:val="sr-Latn-BA"/>
        </w:rPr>
        <w:t xml:space="preserve"> лична примања и приходе од самосталних дјелатности</w:t>
      </w:r>
      <w:r w:rsidR="00EE03B9">
        <w:rPr>
          <w:lang w:val="sr-Cyrl-BA"/>
        </w:rPr>
        <w:t xml:space="preserve"> који припада општинама у 202</w:t>
      </w:r>
      <w:r w:rsidR="000752FC">
        <w:rPr>
          <w:lang w:val="sr-Latn-BA"/>
        </w:rPr>
        <w:t>3</w:t>
      </w:r>
      <w:r>
        <w:rPr>
          <w:lang w:val="sr-Cyrl-BA"/>
        </w:rPr>
        <w:t xml:space="preserve">. години, износи </w:t>
      </w:r>
      <w:r w:rsidR="000752FC">
        <w:rPr>
          <w:lang w:val="sr-Latn-BA"/>
        </w:rPr>
        <w:t>62</w:t>
      </w:r>
      <w:r w:rsidR="00700E6C">
        <w:rPr>
          <w:lang w:val="sr-Cyrl-CS"/>
        </w:rPr>
        <w:t>,</w:t>
      </w:r>
      <w:r w:rsidR="000752FC">
        <w:rPr>
          <w:lang w:val="sr-Latn-BA"/>
        </w:rPr>
        <w:t>0</w:t>
      </w:r>
      <w:r w:rsidR="009A7A6F">
        <w:rPr>
          <w:lang w:val="sr-Cyrl-BA"/>
        </w:rPr>
        <w:t xml:space="preserve"> мили</w:t>
      </w:r>
      <w:r w:rsidR="000666B7">
        <w:rPr>
          <w:lang w:val="sr-Cyrl-BA"/>
        </w:rPr>
        <w:t>она КМ, што представ</w:t>
      </w:r>
      <w:r w:rsidR="000752FC">
        <w:rPr>
          <w:lang w:val="sr-Cyrl-BA"/>
        </w:rPr>
        <w:t>ља у</w:t>
      </w:r>
      <w:r w:rsidR="000752FC">
        <w:rPr>
          <w:lang w:val="sr-Latn-BA"/>
        </w:rPr>
        <w:t>већање</w:t>
      </w:r>
      <w:r>
        <w:rPr>
          <w:lang w:val="sr-Cyrl-BA"/>
        </w:rPr>
        <w:t xml:space="preserve"> од </w:t>
      </w:r>
      <w:r w:rsidR="000752FC">
        <w:rPr>
          <w:lang w:val="ru-RU"/>
        </w:rPr>
        <w:t>24</w:t>
      </w:r>
      <w:r>
        <w:rPr>
          <w:lang w:val="sr-Cyrl-BA"/>
        </w:rPr>
        <w:t xml:space="preserve">% у односу на </w:t>
      </w:r>
      <w:r w:rsidR="000752FC">
        <w:rPr>
          <w:lang w:val="sr-Cyrl-CS"/>
        </w:rPr>
        <w:t>план за 2022</w:t>
      </w:r>
      <w:r w:rsidR="009A7A6F">
        <w:rPr>
          <w:lang w:val="sr-Cyrl-BA"/>
        </w:rPr>
        <w:t>. годину</w:t>
      </w:r>
      <w:r>
        <w:rPr>
          <w:lang w:val="sr-Cyrl-BA"/>
        </w:rPr>
        <w:t>.</w:t>
      </w:r>
    </w:p>
    <w:p w:rsidR="00F55E05" w:rsidRDefault="00720A96" w:rsidP="00F55E05">
      <w:pPr>
        <w:ind w:firstLine="720"/>
        <w:jc w:val="both"/>
        <w:rPr>
          <w:lang w:val="sr-Cyrl-BA"/>
        </w:rPr>
      </w:pPr>
      <w:r>
        <w:rPr>
          <w:lang w:val="sr-Cyrl-BA"/>
        </w:rPr>
        <w:t xml:space="preserve">Пројектовани приход општина по основу </w:t>
      </w:r>
      <w:r w:rsidR="00DD7294" w:rsidRPr="00EE03B9">
        <w:rPr>
          <w:lang w:val="ru-RU"/>
        </w:rPr>
        <w:t>осталих</w:t>
      </w:r>
      <w:r w:rsidR="00EE03B9">
        <w:rPr>
          <w:lang w:val="sr-Cyrl-BA"/>
        </w:rPr>
        <w:t xml:space="preserve"> пореза у 202</w:t>
      </w:r>
      <w:r w:rsidR="000752FC">
        <w:rPr>
          <w:lang w:val="sr-Cyrl-BA"/>
        </w:rPr>
        <w:t>3</w:t>
      </w:r>
      <w:r>
        <w:rPr>
          <w:lang w:val="sr-Cyrl-BA"/>
        </w:rPr>
        <w:t xml:space="preserve">. години износи </w:t>
      </w:r>
      <w:r w:rsidR="000752FC">
        <w:rPr>
          <w:lang w:val="sr-Cyrl-BA"/>
        </w:rPr>
        <w:t>6</w:t>
      </w:r>
      <w:r w:rsidR="009B56C6">
        <w:rPr>
          <w:lang w:val="sr-Latn-BA"/>
        </w:rPr>
        <w:t>,3</w:t>
      </w:r>
      <w:r>
        <w:rPr>
          <w:lang w:val="sr-Cyrl-CS"/>
        </w:rPr>
        <w:t xml:space="preserve"> милиона</w:t>
      </w:r>
      <w:r w:rsidR="009B56C6">
        <w:rPr>
          <w:lang w:val="sr-Cyrl-BA"/>
        </w:rPr>
        <w:t xml:space="preserve"> КМ, што представља</w:t>
      </w:r>
      <w:r w:rsidR="000752FC">
        <w:rPr>
          <w:lang w:val="sr-Latn-BA"/>
        </w:rPr>
        <w:t xml:space="preserve"> у</w:t>
      </w:r>
      <w:r w:rsidR="000752FC">
        <w:rPr>
          <w:lang w:val="sr-Cyrl-BA"/>
        </w:rPr>
        <w:t>мањење</w:t>
      </w:r>
      <w:r w:rsidR="000752FC">
        <w:rPr>
          <w:lang w:val="sr-Latn-BA"/>
        </w:rPr>
        <w:t xml:space="preserve"> за </w:t>
      </w:r>
      <w:r w:rsidR="000752FC">
        <w:rPr>
          <w:lang w:val="sr-Cyrl-BA"/>
        </w:rPr>
        <w:t>0,8</w:t>
      </w:r>
      <w:r w:rsidR="009B56C6">
        <w:rPr>
          <w:lang w:val="sr-Latn-BA"/>
        </w:rPr>
        <w:t>%</w:t>
      </w:r>
      <w:r>
        <w:rPr>
          <w:lang w:val="sr-Cyrl-CS"/>
        </w:rPr>
        <w:t xml:space="preserve"> </w:t>
      </w:r>
      <w:r>
        <w:rPr>
          <w:lang w:val="sr-Cyrl-BA"/>
        </w:rPr>
        <w:t>у односу на п</w:t>
      </w:r>
      <w:r w:rsidR="00DD7294">
        <w:rPr>
          <w:lang w:val="sr-Cyrl-CS"/>
        </w:rPr>
        <w:t>лан</w:t>
      </w:r>
      <w:r>
        <w:rPr>
          <w:lang w:val="sr-Cyrl-BA"/>
        </w:rPr>
        <w:t xml:space="preserve"> 20</w:t>
      </w:r>
      <w:r w:rsidR="000752FC">
        <w:rPr>
          <w:lang w:val="sr-Cyrl-CS"/>
        </w:rPr>
        <w:t>22</w:t>
      </w:r>
      <w:r>
        <w:rPr>
          <w:lang w:val="sr-Cyrl-BA"/>
        </w:rPr>
        <w:t xml:space="preserve">. године. </w:t>
      </w:r>
    </w:p>
    <w:p w:rsidR="00720A96" w:rsidRDefault="000752FC" w:rsidP="00F55E05">
      <w:pPr>
        <w:ind w:firstLine="720"/>
        <w:jc w:val="both"/>
        <w:rPr>
          <w:lang w:val="sr-Cyrl-BA"/>
        </w:rPr>
      </w:pPr>
      <w:r>
        <w:rPr>
          <w:lang w:val="sr-Cyrl-BA"/>
        </w:rPr>
        <w:t>Непорески приходи у 2023</w:t>
      </w:r>
      <w:r w:rsidR="00720A96">
        <w:rPr>
          <w:lang w:val="sr-Cyrl-BA"/>
        </w:rPr>
        <w:t xml:space="preserve">. години имају тенденцију </w:t>
      </w:r>
      <w:r w:rsidR="00720A96">
        <w:rPr>
          <w:lang w:val="sr-Cyrl-CS"/>
        </w:rPr>
        <w:t>пада</w:t>
      </w:r>
      <w:r w:rsidR="00720A96">
        <w:rPr>
          <w:lang w:val="sr-Cyrl-BA"/>
        </w:rPr>
        <w:t xml:space="preserve"> од </w:t>
      </w:r>
      <w:r>
        <w:rPr>
          <w:lang w:val="sr-Cyrl-CS"/>
        </w:rPr>
        <w:t>11</w:t>
      </w:r>
      <w:r w:rsidR="00720A96">
        <w:rPr>
          <w:lang w:val="sr-Cyrl-BA"/>
        </w:rPr>
        <w:t>% у односу на очекивани ниво у 20</w:t>
      </w:r>
      <w:r>
        <w:rPr>
          <w:lang w:val="sr-Cyrl-CS"/>
        </w:rPr>
        <w:t>22</w:t>
      </w:r>
      <w:r w:rsidR="00720A96">
        <w:rPr>
          <w:lang w:val="sr-Cyrl-BA"/>
        </w:rPr>
        <w:t>. годин</w:t>
      </w:r>
      <w:r w:rsidR="00720A96">
        <w:rPr>
          <w:lang w:val="sr-Cyrl-CS"/>
        </w:rPr>
        <w:t>е</w:t>
      </w:r>
      <w:r>
        <w:rPr>
          <w:lang w:val="sr-Cyrl-BA"/>
        </w:rPr>
        <w:t>, при чему се пројектују у 2023</w:t>
      </w:r>
      <w:r w:rsidR="00720A96">
        <w:rPr>
          <w:lang w:val="sr-Cyrl-BA"/>
        </w:rPr>
        <w:t xml:space="preserve">. години у износу од </w:t>
      </w:r>
      <w:r>
        <w:rPr>
          <w:lang w:val="sr-Cyrl-BA"/>
        </w:rPr>
        <w:t>250,9</w:t>
      </w:r>
      <w:r w:rsidR="00720A96">
        <w:rPr>
          <w:lang w:val="sr-Cyrl-CS"/>
        </w:rPr>
        <w:t xml:space="preserve">  </w:t>
      </w:r>
      <w:r>
        <w:rPr>
          <w:lang w:val="sr-Cyrl-BA"/>
        </w:rPr>
        <w:t>милиона КМ, а према ДОБ-у 2023</w:t>
      </w:r>
      <w:r w:rsidR="0048263D">
        <w:rPr>
          <w:lang w:val="sr-Cyrl-BA"/>
        </w:rPr>
        <w:t>. -20</w:t>
      </w:r>
      <w:r w:rsidR="00C914D6">
        <w:rPr>
          <w:lang w:val="sr-Latn-BA"/>
        </w:rPr>
        <w:t>2</w:t>
      </w:r>
      <w:r>
        <w:rPr>
          <w:lang w:val="ru-RU"/>
        </w:rPr>
        <w:t>5</w:t>
      </w:r>
      <w:r w:rsidR="00720A96">
        <w:rPr>
          <w:lang w:val="sr-Cyrl-BA"/>
        </w:rPr>
        <w:t>. годин</w:t>
      </w:r>
      <w:r w:rsidR="00720A96">
        <w:rPr>
          <w:lang w:val="sr-Cyrl-CS"/>
        </w:rPr>
        <w:t>е</w:t>
      </w:r>
      <w:r w:rsidR="00720A96">
        <w:rPr>
          <w:lang w:val="sr-Cyrl-BA"/>
        </w:rPr>
        <w:t>.</w:t>
      </w:r>
    </w:p>
    <w:p w:rsidR="00720A96" w:rsidRDefault="0075704E">
      <w:pPr>
        <w:jc w:val="both"/>
        <w:rPr>
          <w:lang w:val="sr-Cyrl-CS"/>
        </w:rPr>
      </w:pPr>
      <w:r>
        <w:rPr>
          <w:lang w:val="sr-Cyrl-BA"/>
        </w:rPr>
        <w:tab/>
        <w:t xml:space="preserve"> </w:t>
      </w:r>
      <w:r w:rsidR="00720A96">
        <w:rPr>
          <w:lang w:val="sr-Cyrl-BA"/>
        </w:rPr>
        <w:t>Укупни р</w:t>
      </w:r>
      <w:r w:rsidR="000666B7">
        <w:rPr>
          <w:lang w:val="sr-Cyrl-BA"/>
        </w:rPr>
        <w:t>асполож</w:t>
      </w:r>
      <w:r w:rsidR="000752FC">
        <w:rPr>
          <w:lang w:val="sr-Cyrl-BA"/>
        </w:rPr>
        <w:t>иви приходи општина у 2023</w:t>
      </w:r>
      <w:r w:rsidR="00720A96">
        <w:rPr>
          <w:lang w:val="sr-Cyrl-BA"/>
        </w:rPr>
        <w:t xml:space="preserve">. години износе </w:t>
      </w:r>
      <w:r w:rsidR="000752FC">
        <w:rPr>
          <w:lang w:val="sr-Cyrl-BA"/>
        </w:rPr>
        <w:t>905,3</w:t>
      </w:r>
      <w:r w:rsidR="00720A96">
        <w:rPr>
          <w:lang w:val="sr-Cyrl-CS"/>
        </w:rPr>
        <w:t xml:space="preserve"> милиона</w:t>
      </w:r>
      <w:r w:rsidR="00720A96">
        <w:rPr>
          <w:lang w:val="sr-Cyrl-BA"/>
        </w:rPr>
        <w:t xml:space="preserve"> КМ, </w:t>
      </w:r>
      <w:r w:rsidR="0048263D">
        <w:rPr>
          <w:lang w:val="sr-Cyrl-CS"/>
        </w:rPr>
        <w:t xml:space="preserve">што је за </w:t>
      </w:r>
      <w:r w:rsidR="001B633C">
        <w:rPr>
          <w:lang w:val="sr-Cyrl-BA"/>
        </w:rPr>
        <w:t>5</w:t>
      </w:r>
      <w:r w:rsidR="001B633C">
        <w:rPr>
          <w:lang w:val="sr-Cyrl-CS"/>
        </w:rPr>
        <w:t>% умањење</w:t>
      </w:r>
      <w:r w:rsidR="00C47618">
        <w:rPr>
          <w:lang w:val="sr-Cyrl-CS"/>
        </w:rPr>
        <w:t xml:space="preserve"> </w:t>
      </w:r>
      <w:r w:rsidR="001B633C">
        <w:rPr>
          <w:lang w:val="sr-Cyrl-CS"/>
        </w:rPr>
        <w:t>у односу на 2022</w:t>
      </w:r>
      <w:r w:rsidR="00720A96">
        <w:rPr>
          <w:lang w:val="sr-Cyrl-CS"/>
        </w:rPr>
        <w:t>.годину.</w:t>
      </w:r>
    </w:p>
    <w:p w:rsidR="00720A96" w:rsidRDefault="00720A96">
      <w:pPr>
        <w:jc w:val="both"/>
        <w:rPr>
          <w:lang w:val="sr-Cyrl-BA"/>
        </w:rPr>
      </w:pPr>
    </w:p>
    <w:p w:rsidR="00720A96" w:rsidRDefault="00720A96" w:rsidP="00F55E05">
      <w:pPr>
        <w:jc w:val="center"/>
        <w:rPr>
          <w:b/>
          <w:u w:val="single"/>
          <w:lang w:val="sr-Cyrl-CS"/>
        </w:rPr>
      </w:pPr>
      <w:r>
        <w:rPr>
          <w:b/>
          <w:u w:val="single"/>
          <w:lang w:val="sr-Cyrl-CS"/>
        </w:rPr>
        <w:t>Јавна потрошња</w:t>
      </w:r>
    </w:p>
    <w:p w:rsidR="00720A96" w:rsidRDefault="00720A96">
      <w:pPr>
        <w:jc w:val="both"/>
        <w:rPr>
          <w:lang w:val="sr-Cyrl-CS"/>
        </w:rPr>
      </w:pPr>
      <w:r>
        <w:rPr>
          <w:lang w:val="sr-Cyrl-CS"/>
        </w:rPr>
        <w:t xml:space="preserve">                     </w:t>
      </w:r>
    </w:p>
    <w:p w:rsidR="00F55E05" w:rsidRDefault="00720A96">
      <w:pPr>
        <w:jc w:val="both"/>
        <w:rPr>
          <w:lang w:val="sr-Cyrl-BA"/>
        </w:rPr>
      </w:pPr>
      <w:r>
        <w:rPr>
          <w:lang w:val="sr-Cyrl-BA"/>
        </w:rPr>
        <w:t xml:space="preserve"> </w:t>
      </w:r>
      <w:r>
        <w:rPr>
          <w:lang w:val="sr-Cyrl-BA"/>
        </w:rPr>
        <w:tab/>
      </w:r>
      <w:r w:rsidR="00416EDC">
        <w:rPr>
          <w:lang w:val="sr-Cyrl-BA"/>
        </w:rPr>
        <w:t xml:space="preserve"> </w:t>
      </w:r>
      <w:r>
        <w:rPr>
          <w:lang w:val="sr-Cyrl-BA"/>
        </w:rPr>
        <w:t>Пројектовани приходи представљају лимит буџетске потрошње, како на републичк</w:t>
      </w:r>
      <w:r w:rsidR="00F55E05">
        <w:rPr>
          <w:lang w:val="sr-Cyrl-BA"/>
        </w:rPr>
        <w:t>ом, тако и на општинском нивоу.</w:t>
      </w:r>
    </w:p>
    <w:p w:rsidR="00720A96" w:rsidRDefault="0075704E" w:rsidP="00E42EC1">
      <w:pPr>
        <w:ind w:firstLine="720"/>
        <w:jc w:val="both"/>
        <w:rPr>
          <w:lang w:val="sr-Cyrl-BA"/>
        </w:rPr>
      </w:pPr>
      <w:r>
        <w:rPr>
          <w:lang w:val="sr-Cyrl-BA"/>
        </w:rPr>
        <w:t xml:space="preserve"> </w:t>
      </w:r>
      <w:r w:rsidR="00720A96">
        <w:rPr>
          <w:lang w:val="sr-Cyrl-BA"/>
        </w:rPr>
        <w:t>Нето домаћа потрошња представља укупну домаћу потрошњу умањену за трансфере из буџета локалним нивоима власти, ванбуџетским фондовима и планираним износ</w:t>
      </w:r>
      <w:r w:rsidR="0085181A">
        <w:rPr>
          <w:lang w:val="sr-Cyrl-BA"/>
        </w:rPr>
        <w:t>има за отплату унутрашњег дуга.</w:t>
      </w:r>
    </w:p>
    <w:p w:rsidR="00720A96" w:rsidRDefault="00F55E05" w:rsidP="000E6C02">
      <w:pPr>
        <w:jc w:val="both"/>
        <w:rPr>
          <w:lang w:val="sr-Cyrl-BA"/>
        </w:rPr>
      </w:pPr>
      <w:r>
        <w:rPr>
          <w:lang w:val="sr-Cyrl-BA"/>
        </w:rPr>
        <w:tab/>
      </w:r>
      <w:r w:rsidR="0075704E">
        <w:rPr>
          <w:lang w:val="sr-Cyrl-BA"/>
        </w:rPr>
        <w:t xml:space="preserve">   </w:t>
      </w:r>
      <w:r w:rsidR="00720A96">
        <w:rPr>
          <w:lang w:val="sr-Cyrl-BA"/>
        </w:rPr>
        <w:t>Ук</w:t>
      </w:r>
      <w:r w:rsidR="0085181A">
        <w:rPr>
          <w:lang w:val="sr-Cyrl-BA"/>
        </w:rPr>
        <w:t>упна очекивана потрошња на лична примања</w:t>
      </w:r>
      <w:r w:rsidR="00D94BB1">
        <w:rPr>
          <w:lang w:val="sr-Cyrl-BA"/>
        </w:rPr>
        <w:t xml:space="preserve"> на нивоу Републике</w:t>
      </w:r>
      <w:r w:rsidR="00720A96">
        <w:rPr>
          <w:lang w:val="sr-Cyrl-BA"/>
        </w:rPr>
        <w:t xml:space="preserve"> износи </w:t>
      </w:r>
      <w:r w:rsidR="008F5784">
        <w:rPr>
          <w:lang w:val="sr-Cyrl-BA"/>
        </w:rPr>
        <w:t>11</w:t>
      </w:r>
      <w:r w:rsidR="008F5784">
        <w:rPr>
          <w:lang w:val="sr-Latn-BA"/>
        </w:rPr>
        <w:t>19</w:t>
      </w:r>
      <w:r w:rsidR="008F5784">
        <w:rPr>
          <w:lang w:val="sr-Cyrl-BA"/>
        </w:rPr>
        <w:t>,</w:t>
      </w:r>
      <w:r w:rsidR="008F5784">
        <w:rPr>
          <w:lang w:val="sr-Latn-BA"/>
        </w:rPr>
        <w:t>0</w:t>
      </w:r>
      <w:r w:rsidR="008F5784">
        <w:rPr>
          <w:lang w:val="sr-Cyrl-BA"/>
        </w:rPr>
        <w:t xml:space="preserve"> милиона КМ у 202</w:t>
      </w:r>
      <w:r w:rsidR="008F5784">
        <w:rPr>
          <w:lang w:val="sr-Latn-BA"/>
        </w:rPr>
        <w:t>3</w:t>
      </w:r>
      <w:r w:rsidR="008062D0">
        <w:rPr>
          <w:lang w:val="sr-Cyrl-BA"/>
        </w:rPr>
        <w:t xml:space="preserve">. </w:t>
      </w:r>
      <w:r w:rsidR="00906D70">
        <w:rPr>
          <w:lang w:val="sr-Cyrl-BA"/>
        </w:rPr>
        <w:t>г</w:t>
      </w:r>
      <w:r w:rsidR="008F5784">
        <w:rPr>
          <w:lang w:val="sr-Cyrl-BA"/>
        </w:rPr>
        <w:t xml:space="preserve">одини  увећавају се за </w:t>
      </w:r>
      <w:r w:rsidR="008F5784">
        <w:rPr>
          <w:lang w:val="sr-Latn-BA"/>
        </w:rPr>
        <w:t>11</w:t>
      </w:r>
      <w:r w:rsidR="008F5784">
        <w:rPr>
          <w:lang w:val="sr-Cyrl-BA"/>
        </w:rPr>
        <w:t>% у односу на 202</w:t>
      </w:r>
      <w:r w:rsidR="008F5784">
        <w:rPr>
          <w:lang w:val="sr-Latn-BA"/>
        </w:rPr>
        <w:t>2</w:t>
      </w:r>
      <w:r w:rsidR="008062D0">
        <w:rPr>
          <w:lang w:val="sr-Cyrl-BA"/>
        </w:rPr>
        <w:t>. годину</w:t>
      </w:r>
      <w:r w:rsidR="0085181A">
        <w:rPr>
          <w:lang w:val="sr-Cyrl-BA"/>
        </w:rPr>
        <w:t>.</w:t>
      </w:r>
      <w:r w:rsidR="00BE6D9A">
        <w:rPr>
          <w:lang w:val="sr-Cyrl-BA"/>
        </w:rPr>
        <w:t xml:space="preserve"> </w:t>
      </w:r>
      <w:r w:rsidR="008D7510">
        <w:rPr>
          <w:lang w:val="sr-Cyrl-BA"/>
        </w:rPr>
        <w:t>Лична п</w:t>
      </w:r>
      <w:r w:rsidR="002957D1">
        <w:rPr>
          <w:lang w:val="sr-Cyrl-BA"/>
        </w:rPr>
        <w:t>р</w:t>
      </w:r>
      <w:r w:rsidR="008D7510">
        <w:rPr>
          <w:lang w:val="sr-Cyrl-BA"/>
        </w:rPr>
        <w:t>имања запослени</w:t>
      </w:r>
      <w:r w:rsidR="008F5784">
        <w:rPr>
          <w:lang w:val="sr-Cyrl-BA"/>
        </w:rPr>
        <w:t>х у општинама и градовима у 202</w:t>
      </w:r>
      <w:r w:rsidR="008F5784">
        <w:rPr>
          <w:lang w:val="sr-Latn-BA"/>
        </w:rPr>
        <w:t>2</w:t>
      </w:r>
      <w:r w:rsidR="00416EDC">
        <w:rPr>
          <w:lang w:val="sr-Cyrl-BA"/>
        </w:rPr>
        <w:t>.</w:t>
      </w:r>
      <w:r w:rsidR="00DA52CB">
        <w:rPr>
          <w:lang w:val="sr-Cyrl-BA"/>
        </w:rPr>
        <w:t xml:space="preserve"> </w:t>
      </w:r>
      <w:r w:rsidR="00416EDC">
        <w:rPr>
          <w:lang w:val="sr-Cyrl-BA"/>
        </w:rPr>
        <w:t>години</w:t>
      </w:r>
      <w:r w:rsidR="008F5784">
        <w:rPr>
          <w:lang w:val="sr-Cyrl-BA"/>
        </w:rPr>
        <w:t xml:space="preserve"> планиран је износ од </w:t>
      </w:r>
      <w:r w:rsidR="008F5784">
        <w:rPr>
          <w:lang w:val="sr-Latn-BA"/>
        </w:rPr>
        <w:t>303</w:t>
      </w:r>
      <w:r w:rsidR="008F5784">
        <w:rPr>
          <w:lang w:val="sr-Cyrl-BA"/>
        </w:rPr>
        <w:t>,</w:t>
      </w:r>
      <w:r w:rsidR="008F5784">
        <w:rPr>
          <w:lang w:val="sr-Latn-BA"/>
        </w:rPr>
        <w:t>0</w:t>
      </w:r>
      <w:r w:rsidR="008F5784">
        <w:rPr>
          <w:lang w:val="sr-Cyrl-BA"/>
        </w:rPr>
        <w:t xml:space="preserve"> милиона КМ, а у 202</w:t>
      </w:r>
      <w:r w:rsidR="008F5784">
        <w:rPr>
          <w:lang w:val="sr-Latn-BA"/>
        </w:rPr>
        <w:t>3</w:t>
      </w:r>
      <w:r w:rsidR="000E6C02">
        <w:rPr>
          <w:lang w:val="sr-Cyrl-BA"/>
        </w:rPr>
        <w:t xml:space="preserve">. години </w:t>
      </w:r>
      <w:r w:rsidR="008F5784">
        <w:rPr>
          <w:lang w:val="ru-RU"/>
        </w:rPr>
        <w:t xml:space="preserve">се пројектују у износу од </w:t>
      </w:r>
      <w:r w:rsidR="008F5784">
        <w:rPr>
          <w:lang w:val="sr-Latn-BA"/>
        </w:rPr>
        <w:t>318</w:t>
      </w:r>
      <w:r w:rsidR="008F5784">
        <w:rPr>
          <w:lang w:val="ru-RU"/>
        </w:rPr>
        <w:t>,</w:t>
      </w:r>
      <w:r w:rsidR="008F5784">
        <w:rPr>
          <w:lang w:val="sr-Latn-BA"/>
        </w:rPr>
        <w:t>9</w:t>
      </w:r>
      <w:r w:rsidR="000E6C02" w:rsidRPr="000E6C02">
        <w:rPr>
          <w:lang w:val="sr-Cyrl-CS"/>
        </w:rPr>
        <w:t xml:space="preserve"> </w:t>
      </w:r>
      <w:r w:rsidR="00906D70">
        <w:rPr>
          <w:lang w:val="sr-Cyrl-CS"/>
        </w:rPr>
        <w:t>милиона КМ што је увећање у проц</w:t>
      </w:r>
      <w:r w:rsidR="008F5784">
        <w:rPr>
          <w:lang w:val="sr-Cyrl-CS"/>
        </w:rPr>
        <w:t xml:space="preserve">енту од </w:t>
      </w:r>
      <w:r w:rsidR="008F5784">
        <w:rPr>
          <w:lang w:val="sr-Latn-BA"/>
        </w:rPr>
        <w:t>5</w:t>
      </w:r>
      <w:r w:rsidR="00906D70">
        <w:rPr>
          <w:lang w:val="sr-Cyrl-CS"/>
        </w:rPr>
        <w:t>%.</w:t>
      </w:r>
      <w:r w:rsidR="000E6C02" w:rsidRPr="00EE03B9">
        <w:rPr>
          <w:lang w:val="ru-RU"/>
        </w:rPr>
        <w:t xml:space="preserve"> </w:t>
      </w:r>
    </w:p>
    <w:p w:rsidR="00720A96" w:rsidRDefault="00B81B2A">
      <w:pPr>
        <w:jc w:val="both"/>
        <w:rPr>
          <w:lang w:val="sr-Cyrl-CS"/>
        </w:rPr>
      </w:pPr>
      <w:r>
        <w:rPr>
          <w:lang w:val="sr-Cyrl-CS"/>
        </w:rPr>
        <w:t xml:space="preserve"> </w:t>
      </w:r>
    </w:p>
    <w:p w:rsidR="00F55E05" w:rsidRDefault="00F55E05">
      <w:pPr>
        <w:jc w:val="both"/>
        <w:rPr>
          <w:lang w:val="sr-Cyrl-CS"/>
        </w:rPr>
      </w:pPr>
    </w:p>
    <w:p w:rsidR="00720A96" w:rsidRDefault="00720A96">
      <w:pPr>
        <w:jc w:val="both"/>
        <w:rPr>
          <w:lang w:val="sr-Cyrl-BA"/>
        </w:rPr>
      </w:pPr>
    </w:p>
    <w:p w:rsidR="00720A96" w:rsidRPr="00F55E05" w:rsidRDefault="00720A96" w:rsidP="00F55E05">
      <w:pPr>
        <w:jc w:val="center"/>
        <w:rPr>
          <w:b/>
          <w:lang w:val="sr-Cyrl-BA"/>
        </w:rPr>
      </w:pPr>
      <w:r w:rsidRPr="00F55E05">
        <w:rPr>
          <w:b/>
          <w:lang w:val="sr-Cyrl-BA"/>
        </w:rPr>
        <w:t>ОПШТИНСКИ РАСХОДИ</w:t>
      </w:r>
    </w:p>
    <w:p w:rsidR="00720A96" w:rsidRDefault="00720A96" w:rsidP="00F55E05">
      <w:pPr>
        <w:jc w:val="center"/>
        <w:rPr>
          <w:b/>
          <w:lang w:val="sr-Cyrl-BA"/>
        </w:rPr>
      </w:pPr>
    </w:p>
    <w:p w:rsidR="00F55E05" w:rsidRPr="00F55E05" w:rsidRDefault="00F55E05" w:rsidP="00F55E05">
      <w:pPr>
        <w:jc w:val="center"/>
        <w:rPr>
          <w:b/>
          <w:lang w:val="sr-Cyrl-BA"/>
        </w:rPr>
      </w:pPr>
    </w:p>
    <w:p w:rsidR="00720A96" w:rsidRDefault="00720A96">
      <w:pPr>
        <w:jc w:val="both"/>
        <w:rPr>
          <w:lang w:val="sr-Cyrl-CS"/>
        </w:rPr>
      </w:pPr>
      <w:r>
        <w:rPr>
          <w:b/>
          <w:lang w:val="sr-Cyrl-CS"/>
        </w:rPr>
        <w:t xml:space="preserve">                  -</w:t>
      </w:r>
      <w:r>
        <w:rPr>
          <w:b/>
          <w:lang w:val="sr-Cyrl-BA"/>
        </w:rPr>
        <w:t>Бруто плате и накнаде,</w:t>
      </w:r>
      <w:r>
        <w:rPr>
          <w:lang w:val="sr-Cyrl-BA"/>
        </w:rPr>
        <w:t xml:space="preserve"> к</w:t>
      </w:r>
      <w:r w:rsidR="008F5784">
        <w:rPr>
          <w:lang w:val="sr-Cyrl-BA"/>
        </w:rPr>
        <w:t>оје су пројектована у износу од</w:t>
      </w:r>
      <w:r w:rsidR="008F5784">
        <w:rPr>
          <w:lang w:val="sr-Latn-BA"/>
        </w:rPr>
        <w:t xml:space="preserve"> 318,9</w:t>
      </w:r>
      <w:r w:rsidR="00796DB2">
        <w:rPr>
          <w:lang w:val="sr-Cyrl-BA"/>
        </w:rPr>
        <w:t xml:space="preserve"> милиона КМ у 20</w:t>
      </w:r>
      <w:r w:rsidR="00796DB2">
        <w:rPr>
          <w:lang w:val="sr-Latn-BA"/>
        </w:rPr>
        <w:t>2</w:t>
      </w:r>
      <w:r w:rsidR="008F5784">
        <w:rPr>
          <w:lang w:val="sr-Latn-BA"/>
        </w:rPr>
        <w:t>3</w:t>
      </w:r>
      <w:r>
        <w:rPr>
          <w:lang w:val="sr-Cyrl-BA"/>
        </w:rPr>
        <w:t>. години што представља</w:t>
      </w:r>
      <w:r w:rsidR="00CD2057">
        <w:rPr>
          <w:lang w:val="sr-Cyrl-BA"/>
        </w:rPr>
        <w:t xml:space="preserve"> </w:t>
      </w:r>
      <w:r w:rsidR="007E7C0D">
        <w:rPr>
          <w:lang w:val="sr-Cyrl-BA"/>
        </w:rPr>
        <w:t xml:space="preserve">увећање за </w:t>
      </w:r>
      <w:r w:rsidR="008F5784">
        <w:rPr>
          <w:lang w:val="sr-Latn-BA"/>
        </w:rPr>
        <w:t>5</w:t>
      </w:r>
      <w:r w:rsidR="00855060">
        <w:rPr>
          <w:lang w:val="sr-Cyrl-BA"/>
        </w:rPr>
        <w:t xml:space="preserve">% у односу на </w:t>
      </w:r>
      <w:r w:rsidR="00796DB2">
        <w:rPr>
          <w:lang w:val="sr-Cyrl-BA"/>
        </w:rPr>
        <w:t>20</w:t>
      </w:r>
      <w:r w:rsidR="008F5784">
        <w:rPr>
          <w:lang w:val="sr-Latn-BA"/>
        </w:rPr>
        <w:t>22</w:t>
      </w:r>
      <w:r w:rsidR="00855060">
        <w:rPr>
          <w:lang w:val="sr-Cyrl-BA"/>
        </w:rPr>
        <w:t>. годину</w:t>
      </w:r>
      <w:r w:rsidR="00BF3C22">
        <w:rPr>
          <w:lang w:val="sr-Cyrl-BA"/>
        </w:rPr>
        <w:t>.</w:t>
      </w:r>
      <w:r w:rsidR="00855060">
        <w:rPr>
          <w:lang w:val="sr-Cyrl-BA"/>
        </w:rPr>
        <w:t xml:space="preserve"> </w:t>
      </w:r>
      <w:r w:rsidR="00796DB2">
        <w:rPr>
          <w:lang w:val="sr-Cyrl-CS"/>
        </w:rPr>
        <w:t>Планирање плата и накнада у 20</w:t>
      </w:r>
      <w:r w:rsidR="007E7C0D">
        <w:rPr>
          <w:lang w:val="sr-Latn-BA"/>
        </w:rPr>
        <w:t>22</w:t>
      </w:r>
      <w:r w:rsidR="00F64FEB">
        <w:rPr>
          <w:lang w:val="sr-Latn-BA"/>
        </w:rPr>
        <w:t>.</w:t>
      </w:r>
      <w:r>
        <w:rPr>
          <w:lang w:val="sr-Cyrl-CS"/>
        </w:rPr>
        <w:t xml:space="preserve"> годину, вршиће се на бази постојећег броја ра</w:t>
      </w:r>
      <w:r w:rsidR="00796DB2">
        <w:rPr>
          <w:lang w:val="sr-Cyrl-CS"/>
        </w:rPr>
        <w:t>дника, и најниже цијене рада 1</w:t>
      </w:r>
      <w:r w:rsidR="00796DB2">
        <w:rPr>
          <w:lang w:val="sr-Latn-BA"/>
        </w:rPr>
        <w:t>10</w:t>
      </w:r>
      <w:r>
        <w:rPr>
          <w:lang w:val="sr-Cyrl-CS"/>
        </w:rPr>
        <w:t>,00</w:t>
      </w:r>
      <w:r w:rsidR="00855060">
        <w:rPr>
          <w:lang w:val="sr-Cyrl-CS"/>
        </w:rPr>
        <w:t xml:space="preserve"> </w:t>
      </w:r>
      <w:r>
        <w:rPr>
          <w:lang w:val="sr-Cyrl-CS"/>
        </w:rPr>
        <w:t>КМ, без пов</w:t>
      </w:r>
      <w:r w:rsidR="000F5D91">
        <w:rPr>
          <w:lang w:val="sr-Cyrl-CS"/>
        </w:rPr>
        <w:t>е</w:t>
      </w:r>
      <w:r>
        <w:rPr>
          <w:lang w:val="sr-Cyrl-CS"/>
        </w:rPr>
        <w:t>ћања броја радн</w:t>
      </w:r>
      <w:r w:rsidR="00796DB2">
        <w:rPr>
          <w:lang w:val="sr-Cyrl-CS"/>
        </w:rPr>
        <w:t>ика, а према остварењу  у 20</w:t>
      </w:r>
      <w:r w:rsidR="008F5784">
        <w:rPr>
          <w:lang w:val="sr-Latn-BA"/>
        </w:rPr>
        <w:t>22</w:t>
      </w:r>
      <w:r w:rsidR="00B81B2A">
        <w:rPr>
          <w:lang w:val="sr-Cyrl-CS"/>
        </w:rPr>
        <w:t>.</w:t>
      </w:r>
      <w:r>
        <w:rPr>
          <w:lang w:val="sr-Cyrl-CS"/>
        </w:rPr>
        <w:t xml:space="preserve"> години.</w:t>
      </w:r>
    </w:p>
    <w:p w:rsidR="00F55E05" w:rsidRPr="00B81B2A" w:rsidRDefault="00F55E05">
      <w:pPr>
        <w:jc w:val="both"/>
        <w:rPr>
          <w:lang w:val="sr-Cyrl-BA"/>
        </w:rPr>
      </w:pPr>
    </w:p>
    <w:p w:rsidR="00720A96" w:rsidRPr="007C0638" w:rsidRDefault="00F971BC" w:rsidP="00F55E05">
      <w:pPr>
        <w:ind w:firstLine="720"/>
        <w:jc w:val="both"/>
        <w:rPr>
          <w:lang w:val="sr-Latn-BA"/>
        </w:rPr>
      </w:pPr>
      <w:r>
        <w:rPr>
          <w:b/>
          <w:lang w:val="sr-Cyrl-BA"/>
        </w:rPr>
        <w:lastRenderedPageBreak/>
        <w:t>-</w:t>
      </w:r>
      <w:r>
        <w:rPr>
          <w:b/>
          <w:lang w:val="sr-Latn-BA"/>
        </w:rPr>
        <w:t xml:space="preserve"> </w:t>
      </w:r>
      <w:r w:rsidR="00720A96">
        <w:rPr>
          <w:b/>
          <w:lang w:val="sr-Cyrl-BA"/>
        </w:rPr>
        <w:t xml:space="preserve">Материјални трошкови, </w:t>
      </w:r>
      <w:r w:rsidR="00720A96">
        <w:rPr>
          <w:lang w:val="sr-Cyrl-BA"/>
        </w:rPr>
        <w:t xml:space="preserve">који су пројектовани у износу од </w:t>
      </w:r>
      <w:r w:rsidR="00CD7CBF">
        <w:rPr>
          <w:lang w:val="sr-Cyrl-CS"/>
        </w:rPr>
        <w:t>1</w:t>
      </w:r>
      <w:r w:rsidR="008F5784">
        <w:rPr>
          <w:lang w:val="sr-Latn-BA"/>
        </w:rPr>
        <w:t>64</w:t>
      </w:r>
      <w:r w:rsidR="00CD7CBF">
        <w:rPr>
          <w:lang w:val="sr-Cyrl-CS"/>
        </w:rPr>
        <w:t>,</w:t>
      </w:r>
      <w:r w:rsidR="008F5784">
        <w:rPr>
          <w:lang w:val="sr-Latn-BA"/>
        </w:rPr>
        <w:t>6</w:t>
      </w:r>
      <w:r w:rsidR="00720A96">
        <w:rPr>
          <w:lang w:val="sr-Cyrl-CS"/>
        </w:rPr>
        <w:t xml:space="preserve"> </w:t>
      </w:r>
      <w:r w:rsidR="00796DB2">
        <w:rPr>
          <w:lang w:val="sr-Cyrl-BA"/>
        </w:rPr>
        <w:t>милиона КМ у 20</w:t>
      </w:r>
      <w:r w:rsidR="008F5784">
        <w:rPr>
          <w:lang w:val="sr-Latn-BA"/>
        </w:rPr>
        <w:t>23</w:t>
      </w:r>
      <w:r w:rsidR="00720A96">
        <w:rPr>
          <w:lang w:val="sr-Cyrl-BA"/>
        </w:rPr>
        <w:t xml:space="preserve">. години </w:t>
      </w:r>
      <w:r w:rsidR="00CA3EE1">
        <w:rPr>
          <w:lang w:val="sr-Cyrl-BA"/>
        </w:rPr>
        <w:t>имају тенденцију</w:t>
      </w:r>
      <w:r w:rsidR="00CD7CBF">
        <w:rPr>
          <w:lang w:val="sr-Cyrl-BA"/>
        </w:rPr>
        <w:t xml:space="preserve"> </w:t>
      </w:r>
      <w:r w:rsidR="00691423">
        <w:rPr>
          <w:lang w:val="sr-Cyrl-BA"/>
        </w:rPr>
        <w:t>раста</w:t>
      </w:r>
      <w:r w:rsidR="00796DB2">
        <w:rPr>
          <w:lang w:val="sr-Cyrl-BA"/>
        </w:rPr>
        <w:t xml:space="preserve"> у односу на план текуће године у проценту од </w:t>
      </w:r>
      <w:r w:rsidR="008F5784">
        <w:rPr>
          <w:lang w:val="sr-Latn-BA"/>
        </w:rPr>
        <w:t>4</w:t>
      </w:r>
      <w:r w:rsidR="00796DB2">
        <w:rPr>
          <w:lang w:val="sr-Cyrl-BA"/>
        </w:rPr>
        <w:t>%</w:t>
      </w:r>
      <w:r w:rsidR="007C0638">
        <w:rPr>
          <w:lang w:val="sr-Latn-BA"/>
        </w:rPr>
        <w:t>.</w:t>
      </w:r>
    </w:p>
    <w:p w:rsidR="00CD7CBF" w:rsidRDefault="00CA3EE1" w:rsidP="00CD7CBF">
      <w:pPr>
        <w:ind w:firstLine="720"/>
        <w:jc w:val="both"/>
        <w:rPr>
          <w:lang w:val="sr-Cyrl-CS"/>
        </w:rPr>
      </w:pPr>
      <w:r>
        <w:rPr>
          <w:lang w:val="sr-Cyrl-CS"/>
        </w:rPr>
        <w:t xml:space="preserve">- </w:t>
      </w:r>
      <w:r w:rsidRPr="008C7080">
        <w:rPr>
          <w:b/>
          <w:lang w:val="sr-Cyrl-CS"/>
        </w:rPr>
        <w:t>Грант</w:t>
      </w:r>
      <w:r>
        <w:rPr>
          <w:lang w:val="sr-Cyrl-CS"/>
        </w:rPr>
        <w:t xml:space="preserve"> представља бесповратну дознаку која има за циљ да помогне у обављању редовних активности или специфичне групе активности примаоца гранта. Корисници гранта у свом буџетском захтјеву морају навести образложење </w:t>
      </w:r>
      <w:r w:rsidR="008C7080">
        <w:rPr>
          <w:lang w:val="sr-Cyrl-CS"/>
        </w:rPr>
        <w:t>које треба да буде усмјерено на резултате који се желе постићи реализацијом планираних активности из средстава гранта.</w:t>
      </w:r>
      <w:r w:rsidR="00CD7CBF" w:rsidRPr="00CD7CBF">
        <w:rPr>
          <w:lang w:val="sr-Cyrl-BA"/>
        </w:rPr>
        <w:t xml:space="preserve"> </w:t>
      </w:r>
      <w:r w:rsidR="00CD7CBF">
        <w:rPr>
          <w:lang w:val="sr-Cyrl-BA"/>
        </w:rPr>
        <w:t xml:space="preserve">Грантови који су пројектовани у износу од </w:t>
      </w:r>
      <w:r w:rsidR="008F5784">
        <w:rPr>
          <w:lang w:val="sr-Latn-BA"/>
        </w:rPr>
        <w:t>84,5</w:t>
      </w:r>
      <w:r w:rsidR="00CD7CBF">
        <w:rPr>
          <w:lang w:val="sr-Cyrl-CS"/>
        </w:rPr>
        <w:t xml:space="preserve"> </w:t>
      </w:r>
      <w:r w:rsidR="00BA3E12">
        <w:rPr>
          <w:lang w:val="sr-Cyrl-BA"/>
        </w:rPr>
        <w:t>милиона КМ у 20</w:t>
      </w:r>
      <w:r w:rsidR="00CF2BC4">
        <w:rPr>
          <w:lang w:val="sr-Latn-BA"/>
        </w:rPr>
        <w:t>22</w:t>
      </w:r>
      <w:r w:rsidR="00CD7CBF">
        <w:rPr>
          <w:lang w:val="sr-Cyrl-BA"/>
        </w:rPr>
        <w:t xml:space="preserve">. години имају тенденцију </w:t>
      </w:r>
      <w:r w:rsidR="00B31785">
        <w:rPr>
          <w:lang w:val="sr-Latn-BA"/>
        </w:rPr>
        <w:t>пада</w:t>
      </w:r>
      <w:r w:rsidR="00CD7CBF">
        <w:rPr>
          <w:lang w:val="sr-Cyrl-BA"/>
        </w:rPr>
        <w:t xml:space="preserve"> у односу на пл</w:t>
      </w:r>
      <w:r w:rsidR="008B6F49">
        <w:rPr>
          <w:lang w:val="sr-Cyrl-BA"/>
        </w:rPr>
        <w:t>ан текуће године</w:t>
      </w:r>
      <w:r w:rsidR="00DE4F27">
        <w:rPr>
          <w:lang w:val="sr-Latn-BA"/>
        </w:rPr>
        <w:t xml:space="preserve"> за </w:t>
      </w:r>
      <w:r w:rsidR="00B31785">
        <w:rPr>
          <w:lang w:val="sr-Cyrl-BA"/>
        </w:rPr>
        <w:t>1</w:t>
      </w:r>
      <w:r w:rsidR="00CF2BC4">
        <w:rPr>
          <w:lang w:val="sr-Latn-BA"/>
        </w:rPr>
        <w:t>%</w:t>
      </w:r>
      <w:r w:rsidR="00CD7CBF">
        <w:rPr>
          <w:lang w:val="sr-Cyrl-BA"/>
        </w:rPr>
        <w:t xml:space="preserve">. </w:t>
      </w:r>
    </w:p>
    <w:p w:rsidR="00CA3EE1" w:rsidRDefault="00CA3EE1" w:rsidP="00F55E05">
      <w:pPr>
        <w:ind w:firstLine="720"/>
        <w:jc w:val="both"/>
        <w:rPr>
          <w:lang w:val="sr-Latn-BA"/>
        </w:rPr>
      </w:pPr>
    </w:p>
    <w:p w:rsidR="00BA5299" w:rsidRPr="00EE03B9" w:rsidRDefault="00BA5299" w:rsidP="00F55E05">
      <w:pPr>
        <w:ind w:firstLine="720"/>
        <w:jc w:val="both"/>
        <w:rPr>
          <w:lang w:val="ru-RU"/>
        </w:rPr>
      </w:pPr>
      <w:r w:rsidRPr="00BA5299">
        <w:rPr>
          <w:b/>
          <w:lang w:val="sr-Latn-BA"/>
        </w:rPr>
        <w:t>-Дознаке на име социјалне заштите</w:t>
      </w:r>
      <w:r>
        <w:rPr>
          <w:lang w:val="sr-Latn-BA"/>
        </w:rPr>
        <w:t xml:space="preserve"> представљају бесповратне дознаке са циљем заштите становништва или циљне групе грађана од одређених социјалних ризика. Дознаке на име социјалне заштите се исплаћују из буџета Републике и буџета општине-градова.</w:t>
      </w:r>
    </w:p>
    <w:p w:rsidR="00720A96" w:rsidRPr="00BA5299" w:rsidRDefault="00F55E05" w:rsidP="00BA5299">
      <w:pPr>
        <w:jc w:val="both"/>
        <w:rPr>
          <w:lang w:val="sr-Latn-BA"/>
        </w:rPr>
      </w:pPr>
      <w:r>
        <w:rPr>
          <w:lang w:val="sr-Cyrl-BA"/>
        </w:rPr>
        <w:tab/>
      </w:r>
      <w:r w:rsidR="00720A96">
        <w:rPr>
          <w:b/>
          <w:lang w:val="sr-Cyrl-CS"/>
        </w:rPr>
        <w:t>-</w:t>
      </w:r>
      <w:r w:rsidR="00720A96">
        <w:rPr>
          <w:b/>
          <w:lang w:val="sr-Cyrl-BA"/>
        </w:rPr>
        <w:t>Субвенције</w:t>
      </w:r>
      <w:r w:rsidR="00720A96">
        <w:rPr>
          <w:lang w:val="sr-Cyrl-BA"/>
        </w:rPr>
        <w:t xml:space="preserve"> пројектоване у износу од </w:t>
      </w:r>
      <w:r w:rsidR="00517F0D">
        <w:rPr>
          <w:lang w:val="sr-Cyrl-BA"/>
        </w:rPr>
        <w:t>25</w:t>
      </w:r>
      <w:r w:rsidR="00EE32A7">
        <w:rPr>
          <w:lang w:val="sr-Cyrl-CS"/>
        </w:rPr>
        <w:t>,</w:t>
      </w:r>
      <w:r w:rsidR="00517F0D">
        <w:rPr>
          <w:lang w:val="sr-Cyrl-BA"/>
        </w:rPr>
        <w:t>1</w:t>
      </w:r>
      <w:r w:rsidR="00720A96">
        <w:rPr>
          <w:lang w:val="sr-Cyrl-CS"/>
        </w:rPr>
        <w:t xml:space="preserve"> </w:t>
      </w:r>
      <w:r w:rsidR="00896168">
        <w:rPr>
          <w:lang w:val="sr-Cyrl-BA"/>
        </w:rPr>
        <w:t>милиона КМ у 20</w:t>
      </w:r>
      <w:r w:rsidR="00517F0D">
        <w:rPr>
          <w:lang w:val="sr-Cyrl-CS"/>
        </w:rPr>
        <w:t>23</w:t>
      </w:r>
      <w:r w:rsidR="00A975F0">
        <w:rPr>
          <w:lang w:val="sr-Cyrl-BA"/>
        </w:rPr>
        <w:t>. години.</w:t>
      </w:r>
    </w:p>
    <w:p w:rsidR="00720A96" w:rsidRDefault="00F55E05">
      <w:pPr>
        <w:jc w:val="both"/>
        <w:rPr>
          <w:lang w:val="sr-Cyrl-BA"/>
        </w:rPr>
      </w:pPr>
      <w:r>
        <w:rPr>
          <w:lang w:val="sr-Cyrl-BA"/>
        </w:rPr>
        <w:tab/>
      </w:r>
      <w:r w:rsidR="00720A96">
        <w:rPr>
          <w:lang w:val="sr-Cyrl-CS"/>
        </w:rPr>
        <w:t>-</w:t>
      </w:r>
      <w:r w:rsidR="00720A96">
        <w:rPr>
          <w:b/>
          <w:lang w:val="sr-Cyrl-BA"/>
        </w:rPr>
        <w:t>Капитални расходи</w:t>
      </w:r>
      <w:r w:rsidR="00720A96">
        <w:rPr>
          <w:lang w:val="sr-Cyrl-BA"/>
        </w:rPr>
        <w:t xml:space="preserve"> пројектовани у износу од </w:t>
      </w:r>
      <w:r w:rsidR="00517F0D">
        <w:rPr>
          <w:lang w:val="sr-Cyrl-BA"/>
        </w:rPr>
        <w:t>126</w:t>
      </w:r>
      <w:r w:rsidR="00EE32A7">
        <w:rPr>
          <w:lang w:val="sr-Cyrl-CS"/>
        </w:rPr>
        <w:t>,</w:t>
      </w:r>
      <w:r w:rsidR="00517F0D">
        <w:rPr>
          <w:lang w:val="sr-Cyrl-BA"/>
        </w:rPr>
        <w:t>0</w:t>
      </w:r>
      <w:r w:rsidR="00EC7350">
        <w:rPr>
          <w:lang w:val="sr-Cyrl-CS"/>
        </w:rPr>
        <w:t xml:space="preserve"> </w:t>
      </w:r>
      <w:r w:rsidR="00EE32A7">
        <w:rPr>
          <w:lang w:val="sr-Cyrl-BA"/>
        </w:rPr>
        <w:t xml:space="preserve">милиона КМ </w:t>
      </w:r>
      <w:r w:rsidR="00EE32A7">
        <w:rPr>
          <w:lang w:val="sr-Latn-BA"/>
        </w:rPr>
        <w:t xml:space="preserve">за </w:t>
      </w:r>
      <w:r w:rsidR="00CE4D36">
        <w:rPr>
          <w:lang w:val="sr-Cyrl-BA"/>
        </w:rPr>
        <w:t xml:space="preserve"> 202</w:t>
      </w:r>
      <w:r w:rsidR="00517F0D">
        <w:rPr>
          <w:lang w:val="sr-Cyrl-BA"/>
        </w:rPr>
        <w:t>3</w:t>
      </w:r>
      <w:r w:rsidR="00720A96">
        <w:rPr>
          <w:lang w:val="sr-Cyrl-BA"/>
        </w:rPr>
        <w:t xml:space="preserve">. </w:t>
      </w:r>
      <w:r w:rsidR="008A30A6">
        <w:rPr>
          <w:lang w:val="sr-Cyrl-BA"/>
        </w:rPr>
        <w:t>г</w:t>
      </w:r>
      <w:r w:rsidR="00720A96">
        <w:rPr>
          <w:lang w:val="sr-Cyrl-BA"/>
        </w:rPr>
        <w:t>один</w:t>
      </w:r>
      <w:r w:rsidR="00EE32A7">
        <w:rPr>
          <w:lang w:val="sr-Cyrl-BA"/>
        </w:rPr>
        <w:t>у</w:t>
      </w:r>
      <w:r w:rsidR="00720A96">
        <w:rPr>
          <w:lang w:val="sr-Cyrl-BA"/>
        </w:rPr>
        <w:t>.</w:t>
      </w:r>
    </w:p>
    <w:p w:rsidR="00720A96" w:rsidRDefault="00F55E05">
      <w:pPr>
        <w:jc w:val="both"/>
        <w:rPr>
          <w:lang w:val="sr-Cyrl-BA"/>
        </w:rPr>
      </w:pPr>
      <w:r>
        <w:rPr>
          <w:lang w:val="sr-Cyrl-BA"/>
        </w:rPr>
        <w:tab/>
      </w:r>
    </w:p>
    <w:p w:rsidR="008A30A6" w:rsidRDefault="008A30A6">
      <w:pPr>
        <w:jc w:val="both"/>
        <w:rPr>
          <w:lang w:val="sr-Cyrl-BA"/>
        </w:rPr>
      </w:pPr>
    </w:p>
    <w:p w:rsidR="008A30A6" w:rsidRPr="00BA5299" w:rsidRDefault="00BA5299" w:rsidP="00BA5299">
      <w:pPr>
        <w:jc w:val="center"/>
        <w:rPr>
          <w:b/>
          <w:lang w:val="sr-Cyrl-BA"/>
        </w:rPr>
      </w:pPr>
      <w:r w:rsidRPr="00BA5299">
        <w:rPr>
          <w:b/>
          <w:lang w:val="sr-Cyrl-BA"/>
        </w:rPr>
        <w:t>Пројекција буџетских ср</w:t>
      </w:r>
      <w:r w:rsidR="000F3C45">
        <w:rPr>
          <w:b/>
          <w:lang w:val="sr-Cyrl-BA"/>
        </w:rPr>
        <w:t>е</w:t>
      </w:r>
      <w:r w:rsidRPr="00BA5299">
        <w:rPr>
          <w:b/>
          <w:lang w:val="sr-Cyrl-BA"/>
        </w:rPr>
        <w:t>дстава и буџетске потрошње(буџети о</w:t>
      </w:r>
      <w:r w:rsidR="00CE4D36">
        <w:rPr>
          <w:b/>
          <w:lang w:val="sr-Cyrl-BA"/>
        </w:rPr>
        <w:t>пштине и градова) за период 202</w:t>
      </w:r>
      <w:r w:rsidR="00277E0B">
        <w:rPr>
          <w:b/>
          <w:lang w:val="sr-Latn-BA"/>
        </w:rPr>
        <w:t>3</w:t>
      </w:r>
      <w:r w:rsidR="00CE4D36">
        <w:rPr>
          <w:b/>
          <w:lang w:val="sr-Cyrl-BA"/>
        </w:rPr>
        <w:t>.-202</w:t>
      </w:r>
      <w:r w:rsidR="00277E0B">
        <w:rPr>
          <w:b/>
          <w:lang w:val="sr-Latn-BA"/>
        </w:rPr>
        <w:t>5</w:t>
      </w:r>
      <w:r w:rsidRPr="00BA5299">
        <w:rPr>
          <w:b/>
          <w:lang w:val="sr-Cyrl-BA"/>
        </w:rPr>
        <w:t>.</w:t>
      </w:r>
    </w:p>
    <w:p w:rsidR="00720A96" w:rsidRPr="00F55E05" w:rsidRDefault="00720A96">
      <w:pPr>
        <w:jc w:val="both"/>
        <w:rPr>
          <w:b/>
          <w:i/>
          <w:lang w:val="sr-Cyrl-BA"/>
        </w:rPr>
      </w:pPr>
      <w:r w:rsidRPr="00F55E05">
        <w:rPr>
          <w:i/>
          <w:lang w:val="sr-Cyrl-BA"/>
        </w:rPr>
        <w:t>Табела 3</w:t>
      </w:r>
      <w:r w:rsidRPr="00F55E05">
        <w:rPr>
          <w:b/>
          <w:i/>
          <w:lang w:val="sr-Cyrl-BA"/>
        </w:rPr>
        <w:t>.</w:t>
      </w:r>
    </w:p>
    <w:p w:rsidR="00720A96" w:rsidRDefault="00720A96">
      <w:pPr>
        <w:jc w:val="both"/>
        <w:rPr>
          <w:b/>
          <w:lang w:val="sr-Cyrl-BA"/>
        </w:rPr>
      </w:pPr>
      <w:r>
        <w:rPr>
          <w:b/>
          <w:lang w:val="sr-Cyrl-BA"/>
        </w:rPr>
        <w:tab/>
      </w:r>
      <w:r>
        <w:rPr>
          <w:b/>
          <w:lang w:val="sr-Cyrl-BA"/>
        </w:rPr>
        <w:tab/>
      </w:r>
    </w:p>
    <w:p w:rsidR="00720A96" w:rsidRDefault="00720A96">
      <w:pPr>
        <w:jc w:val="both"/>
        <w:rPr>
          <w:b/>
          <w:lang w:val="sr-Cyrl-B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1417"/>
        <w:gridCol w:w="1418"/>
        <w:gridCol w:w="1417"/>
        <w:gridCol w:w="1435"/>
      </w:tblGrid>
      <w:tr w:rsidR="006A38A4" w:rsidRPr="00C31575" w:rsidTr="00531D56">
        <w:tc>
          <w:tcPr>
            <w:tcW w:w="2660" w:type="dxa"/>
          </w:tcPr>
          <w:p w:rsidR="006A38A4" w:rsidRPr="00C31575" w:rsidRDefault="006A38A4" w:rsidP="00C31575">
            <w:pPr>
              <w:jc w:val="both"/>
            </w:pPr>
            <w:r w:rsidRPr="00C31575">
              <w:t>Позиција</w:t>
            </w:r>
          </w:p>
        </w:tc>
        <w:tc>
          <w:tcPr>
            <w:tcW w:w="1417" w:type="dxa"/>
          </w:tcPr>
          <w:p w:rsidR="006A38A4" w:rsidRDefault="00277E0B" w:rsidP="00C31575">
            <w:pPr>
              <w:jc w:val="both"/>
            </w:pPr>
            <w:proofErr w:type="spellStart"/>
            <w:r>
              <w:t>План</w:t>
            </w:r>
            <w:proofErr w:type="spellEnd"/>
            <w:r>
              <w:t xml:space="preserve"> 2022</w:t>
            </w:r>
            <w:r w:rsidR="006A38A4">
              <w:t>.</w:t>
            </w:r>
          </w:p>
        </w:tc>
        <w:tc>
          <w:tcPr>
            <w:tcW w:w="1418" w:type="dxa"/>
          </w:tcPr>
          <w:p w:rsidR="006A38A4" w:rsidRPr="00C31575" w:rsidRDefault="00ED5CFE" w:rsidP="00C31575">
            <w:pPr>
              <w:jc w:val="both"/>
            </w:pPr>
            <w:proofErr w:type="spellStart"/>
            <w:r>
              <w:t>Пројекција</w:t>
            </w:r>
            <w:proofErr w:type="spellEnd"/>
            <w:r>
              <w:t xml:space="preserve"> 202</w:t>
            </w:r>
            <w:r w:rsidR="00544D46">
              <w:t>3</w:t>
            </w:r>
            <w:r w:rsidR="006A38A4" w:rsidRPr="00C31575">
              <w:t>.</w:t>
            </w:r>
          </w:p>
        </w:tc>
        <w:tc>
          <w:tcPr>
            <w:tcW w:w="1417" w:type="dxa"/>
          </w:tcPr>
          <w:p w:rsidR="006A38A4" w:rsidRPr="00C31575" w:rsidRDefault="007A5C6D" w:rsidP="00C31575">
            <w:pPr>
              <w:jc w:val="both"/>
            </w:pPr>
            <w:proofErr w:type="spellStart"/>
            <w:r>
              <w:t>Пројекција</w:t>
            </w:r>
            <w:proofErr w:type="spellEnd"/>
            <w:r>
              <w:t xml:space="preserve"> 2024</w:t>
            </w:r>
            <w:r w:rsidR="006A38A4" w:rsidRPr="00C31575">
              <w:t>.</w:t>
            </w:r>
          </w:p>
        </w:tc>
        <w:tc>
          <w:tcPr>
            <w:tcW w:w="1435" w:type="dxa"/>
          </w:tcPr>
          <w:p w:rsidR="006A38A4" w:rsidRPr="00C31575" w:rsidRDefault="00C944E1" w:rsidP="00C31575">
            <w:pPr>
              <w:jc w:val="both"/>
            </w:pPr>
            <w:proofErr w:type="spellStart"/>
            <w:r>
              <w:t>Пројекција</w:t>
            </w:r>
            <w:proofErr w:type="spellEnd"/>
            <w:r>
              <w:t xml:space="preserve"> 2025</w:t>
            </w:r>
            <w:r w:rsidR="006A38A4" w:rsidRPr="00C31575">
              <w:t>.</w:t>
            </w:r>
          </w:p>
        </w:tc>
      </w:tr>
      <w:tr w:rsidR="006A38A4" w:rsidRPr="00C31575" w:rsidTr="00531D56">
        <w:tc>
          <w:tcPr>
            <w:tcW w:w="2660" w:type="dxa"/>
          </w:tcPr>
          <w:p w:rsidR="006A38A4" w:rsidRPr="00C31575" w:rsidRDefault="006A38A4" w:rsidP="00C31575">
            <w:pPr>
              <w:jc w:val="both"/>
            </w:pPr>
            <w:r w:rsidRPr="00C31575">
              <w:t>Директни порези</w:t>
            </w:r>
          </w:p>
        </w:tc>
        <w:tc>
          <w:tcPr>
            <w:tcW w:w="1417" w:type="dxa"/>
          </w:tcPr>
          <w:p w:rsidR="006A38A4" w:rsidRDefault="006625BC" w:rsidP="00C31575">
            <w:pPr>
              <w:jc w:val="right"/>
            </w:pPr>
            <w:r>
              <w:t>81,10</w:t>
            </w:r>
          </w:p>
        </w:tc>
        <w:tc>
          <w:tcPr>
            <w:tcW w:w="1418" w:type="dxa"/>
          </w:tcPr>
          <w:p w:rsidR="006A38A4" w:rsidRPr="00C31575" w:rsidRDefault="00544D46" w:rsidP="00C31575">
            <w:pPr>
              <w:jc w:val="right"/>
            </w:pPr>
            <w:r>
              <w:t>99,70</w:t>
            </w:r>
          </w:p>
        </w:tc>
        <w:tc>
          <w:tcPr>
            <w:tcW w:w="1417" w:type="dxa"/>
          </w:tcPr>
          <w:p w:rsidR="006A38A4" w:rsidRPr="00C31575" w:rsidRDefault="007A5C6D" w:rsidP="00C31575">
            <w:pPr>
              <w:jc w:val="right"/>
            </w:pPr>
            <w:r>
              <w:t>94,0</w:t>
            </w:r>
          </w:p>
        </w:tc>
        <w:tc>
          <w:tcPr>
            <w:tcW w:w="1435" w:type="dxa"/>
          </w:tcPr>
          <w:p w:rsidR="006A38A4" w:rsidRPr="00C31575" w:rsidRDefault="00C944E1" w:rsidP="00C31575">
            <w:pPr>
              <w:jc w:val="right"/>
            </w:pPr>
            <w:r>
              <w:t>98,20</w:t>
            </w:r>
          </w:p>
        </w:tc>
      </w:tr>
      <w:tr w:rsidR="006A38A4" w:rsidRPr="00C31575" w:rsidTr="00531D56">
        <w:tc>
          <w:tcPr>
            <w:tcW w:w="2660" w:type="dxa"/>
          </w:tcPr>
          <w:p w:rsidR="006A38A4" w:rsidRPr="00C31575" w:rsidRDefault="006A38A4" w:rsidP="00C31575">
            <w:pPr>
              <w:jc w:val="both"/>
            </w:pPr>
            <w:r w:rsidRPr="00C31575">
              <w:t>Индиректни порези</w:t>
            </w:r>
          </w:p>
        </w:tc>
        <w:tc>
          <w:tcPr>
            <w:tcW w:w="1417" w:type="dxa"/>
          </w:tcPr>
          <w:p w:rsidR="006A38A4" w:rsidRDefault="006625BC" w:rsidP="00C31575">
            <w:pPr>
              <w:jc w:val="right"/>
            </w:pPr>
            <w:r>
              <w:t>473,1</w:t>
            </w:r>
          </w:p>
        </w:tc>
        <w:tc>
          <w:tcPr>
            <w:tcW w:w="1418" w:type="dxa"/>
          </w:tcPr>
          <w:p w:rsidR="006A38A4" w:rsidRPr="00C31575" w:rsidRDefault="00544D46" w:rsidP="00C31575">
            <w:pPr>
              <w:jc w:val="right"/>
            </w:pPr>
            <w:r>
              <w:t>474,3</w:t>
            </w:r>
          </w:p>
        </w:tc>
        <w:tc>
          <w:tcPr>
            <w:tcW w:w="1417" w:type="dxa"/>
          </w:tcPr>
          <w:p w:rsidR="006A38A4" w:rsidRPr="00C31575" w:rsidRDefault="007A5C6D" w:rsidP="00C31575">
            <w:pPr>
              <w:jc w:val="right"/>
            </w:pPr>
            <w:r>
              <w:t>485,9</w:t>
            </w:r>
          </w:p>
        </w:tc>
        <w:tc>
          <w:tcPr>
            <w:tcW w:w="1435" w:type="dxa"/>
          </w:tcPr>
          <w:p w:rsidR="006A38A4" w:rsidRPr="00C31575" w:rsidRDefault="00C944E1" w:rsidP="00C31575">
            <w:pPr>
              <w:jc w:val="right"/>
            </w:pPr>
            <w:r>
              <w:t>520,5</w:t>
            </w:r>
          </w:p>
        </w:tc>
      </w:tr>
      <w:tr w:rsidR="006A38A4" w:rsidRPr="00C31575" w:rsidTr="00531D56">
        <w:tc>
          <w:tcPr>
            <w:tcW w:w="2660" w:type="dxa"/>
          </w:tcPr>
          <w:p w:rsidR="006A38A4" w:rsidRPr="00C31575" w:rsidRDefault="006A38A4" w:rsidP="00C31575">
            <w:pPr>
              <w:jc w:val="both"/>
            </w:pPr>
            <w:r w:rsidRPr="00C31575">
              <w:t>Остали порези</w:t>
            </w:r>
          </w:p>
        </w:tc>
        <w:tc>
          <w:tcPr>
            <w:tcW w:w="1417" w:type="dxa"/>
          </w:tcPr>
          <w:p w:rsidR="006A38A4" w:rsidRDefault="004E6FA8" w:rsidP="00C31575">
            <w:pPr>
              <w:jc w:val="right"/>
            </w:pPr>
            <w:r>
              <w:t>7,9</w:t>
            </w:r>
          </w:p>
        </w:tc>
        <w:tc>
          <w:tcPr>
            <w:tcW w:w="1418" w:type="dxa"/>
          </w:tcPr>
          <w:p w:rsidR="006A38A4" w:rsidRPr="00C31575" w:rsidRDefault="00544D46" w:rsidP="00C31575">
            <w:pPr>
              <w:jc w:val="right"/>
            </w:pPr>
            <w:r>
              <w:t>11,4</w:t>
            </w:r>
          </w:p>
        </w:tc>
        <w:tc>
          <w:tcPr>
            <w:tcW w:w="1417" w:type="dxa"/>
          </w:tcPr>
          <w:p w:rsidR="006A38A4" w:rsidRPr="00C31575" w:rsidRDefault="007A5C6D" w:rsidP="00C31575">
            <w:pPr>
              <w:jc w:val="right"/>
            </w:pPr>
            <w:r>
              <w:t>11,8</w:t>
            </w:r>
          </w:p>
        </w:tc>
        <w:tc>
          <w:tcPr>
            <w:tcW w:w="1435" w:type="dxa"/>
          </w:tcPr>
          <w:p w:rsidR="006A38A4" w:rsidRPr="00C31575" w:rsidRDefault="00C944E1" w:rsidP="00C31575">
            <w:pPr>
              <w:jc w:val="right"/>
            </w:pPr>
            <w:r>
              <w:t>12,2</w:t>
            </w:r>
          </w:p>
        </w:tc>
      </w:tr>
      <w:tr w:rsidR="006A38A4" w:rsidRPr="00C31575" w:rsidTr="00531D56">
        <w:tc>
          <w:tcPr>
            <w:tcW w:w="2660" w:type="dxa"/>
          </w:tcPr>
          <w:p w:rsidR="006A38A4" w:rsidRPr="00C31575" w:rsidRDefault="006A38A4" w:rsidP="00C31575">
            <w:pPr>
              <w:jc w:val="both"/>
            </w:pPr>
            <w:r w:rsidRPr="00C31575">
              <w:t>Непорески приходи</w:t>
            </w:r>
          </w:p>
        </w:tc>
        <w:tc>
          <w:tcPr>
            <w:tcW w:w="1417" w:type="dxa"/>
          </w:tcPr>
          <w:p w:rsidR="006A38A4" w:rsidRDefault="006625BC" w:rsidP="00C31575">
            <w:pPr>
              <w:jc w:val="right"/>
            </w:pPr>
            <w:r>
              <w:t>228,2</w:t>
            </w:r>
          </w:p>
        </w:tc>
        <w:tc>
          <w:tcPr>
            <w:tcW w:w="1418" w:type="dxa"/>
          </w:tcPr>
          <w:p w:rsidR="006A38A4" w:rsidRPr="00C31575" w:rsidRDefault="00544D46" w:rsidP="00C31575">
            <w:pPr>
              <w:jc w:val="right"/>
            </w:pPr>
            <w:r>
              <w:t>250,9</w:t>
            </w:r>
          </w:p>
        </w:tc>
        <w:tc>
          <w:tcPr>
            <w:tcW w:w="1417" w:type="dxa"/>
          </w:tcPr>
          <w:p w:rsidR="006A38A4" w:rsidRPr="00C31575" w:rsidRDefault="007A5C6D" w:rsidP="00C31575">
            <w:pPr>
              <w:jc w:val="right"/>
            </w:pPr>
            <w:r>
              <w:t>259,9</w:t>
            </w:r>
          </w:p>
        </w:tc>
        <w:tc>
          <w:tcPr>
            <w:tcW w:w="1435" w:type="dxa"/>
          </w:tcPr>
          <w:p w:rsidR="006A38A4" w:rsidRPr="00C31575" w:rsidRDefault="00C944E1" w:rsidP="00C31575">
            <w:pPr>
              <w:jc w:val="right"/>
            </w:pPr>
            <w:r>
              <w:t>268,7</w:t>
            </w:r>
          </w:p>
        </w:tc>
      </w:tr>
      <w:tr w:rsidR="006A38A4" w:rsidRPr="00C31575" w:rsidTr="00531D56">
        <w:tc>
          <w:tcPr>
            <w:tcW w:w="2660" w:type="dxa"/>
          </w:tcPr>
          <w:p w:rsidR="006A38A4" w:rsidRPr="00C31575" w:rsidRDefault="006A38A4" w:rsidP="00C31575">
            <w:pPr>
              <w:jc w:val="both"/>
            </w:pPr>
            <w:r w:rsidRPr="00C31575">
              <w:t>Грантови</w:t>
            </w:r>
          </w:p>
        </w:tc>
        <w:tc>
          <w:tcPr>
            <w:tcW w:w="1417" w:type="dxa"/>
          </w:tcPr>
          <w:p w:rsidR="006A38A4" w:rsidRDefault="00542866" w:rsidP="00C31575">
            <w:pPr>
              <w:jc w:val="right"/>
            </w:pPr>
            <w:r>
              <w:t>14,9</w:t>
            </w:r>
          </w:p>
        </w:tc>
        <w:tc>
          <w:tcPr>
            <w:tcW w:w="1418" w:type="dxa"/>
          </w:tcPr>
          <w:p w:rsidR="006A38A4" w:rsidRPr="00C31575" w:rsidRDefault="00544D46" w:rsidP="00C31575">
            <w:pPr>
              <w:jc w:val="right"/>
            </w:pPr>
            <w:r>
              <w:t>10,4</w:t>
            </w:r>
          </w:p>
        </w:tc>
        <w:tc>
          <w:tcPr>
            <w:tcW w:w="1417" w:type="dxa"/>
          </w:tcPr>
          <w:p w:rsidR="006A38A4" w:rsidRPr="00C31575" w:rsidRDefault="007A5C6D" w:rsidP="00C31575">
            <w:pPr>
              <w:jc w:val="right"/>
            </w:pPr>
            <w:r>
              <w:t>9,2</w:t>
            </w:r>
          </w:p>
        </w:tc>
        <w:tc>
          <w:tcPr>
            <w:tcW w:w="1435" w:type="dxa"/>
          </w:tcPr>
          <w:p w:rsidR="006A38A4" w:rsidRPr="00C31575" w:rsidRDefault="00C944E1" w:rsidP="00C31575">
            <w:pPr>
              <w:jc w:val="right"/>
            </w:pPr>
            <w:r>
              <w:t>8,0</w:t>
            </w:r>
          </w:p>
        </w:tc>
      </w:tr>
      <w:tr w:rsidR="006A38A4" w:rsidRPr="00C31575" w:rsidTr="00531D56">
        <w:tc>
          <w:tcPr>
            <w:tcW w:w="2660" w:type="dxa"/>
          </w:tcPr>
          <w:p w:rsidR="006A38A4" w:rsidRPr="00C31575" w:rsidRDefault="006A38A4" w:rsidP="00C31575">
            <w:pPr>
              <w:jc w:val="both"/>
            </w:pPr>
            <w:r w:rsidRPr="00C31575">
              <w:t>Трансфери</w:t>
            </w:r>
          </w:p>
        </w:tc>
        <w:tc>
          <w:tcPr>
            <w:tcW w:w="1417" w:type="dxa"/>
          </w:tcPr>
          <w:p w:rsidR="006A38A4" w:rsidRDefault="004E6FA8" w:rsidP="00C31575">
            <w:pPr>
              <w:jc w:val="right"/>
            </w:pPr>
            <w:r>
              <w:t>90,4</w:t>
            </w:r>
          </w:p>
        </w:tc>
        <w:tc>
          <w:tcPr>
            <w:tcW w:w="1418" w:type="dxa"/>
          </w:tcPr>
          <w:p w:rsidR="006A38A4" w:rsidRPr="00C31575" w:rsidRDefault="00544D46" w:rsidP="00C31575">
            <w:pPr>
              <w:jc w:val="right"/>
            </w:pPr>
            <w:r>
              <w:t>68,6</w:t>
            </w:r>
          </w:p>
        </w:tc>
        <w:tc>
          <w:tcPr>
            <w:tcW w:w="1417" w:type="dxa"/>
          </w:tcPr>
          <w:p w:rsidR="006A38A4" w:rsidRPr="00C31575" w:rsidRDefault="007A5C6D" w:rsidP="00C31575">
            <w:pPr>
              <w:jc w:val="right"/>
            </w:pPr>
            <w:r>
              <w:t>68,7</w:t>
            </w:r>
          </w:p>
        </w:tc>
        <w:tc>
          <w:tcPr>
            <w:tcW w:w="1435" w:type="dxa"/>
          </w:tcPr>
          <w:p w:rsidR="006A38A4" w:rsidRPr="00C31575" w:rsidRDefault="00C944E1" w:rsidP="00210DED">
            <w:pPr>
              <w:jc w:val="right"/>
            </w:pPr>
            <w:r>
              <w:t>73,7</w:t>
            </w:r>
          </w:p>
        </w:tc>
      </w:tr>
      <w:tr w:rsidR="006A38A4" w:rsidRPr="00C31575" w:rsidTr="00531D56">
        <w:tc>
          <w:tcPr>
            <w:tcW w:w="2660" w:type="dxa"/>
            <w:shd w:val="clear" w:color="auto" w:fill="BFBFBF"/>
          </w:tcPr>
          <w:p w:rsidR="006A38A4" w:rsidRPr="00C31575" w:rsidRDefault="006A38A4" w:rsidP="00C31575">
            <w:pPr>
              <w:jc w:val="both"/>
            </w:pPr>
            <w:r>
              <w:t>Укупни приходи</w:t>
            </w:r>
          </w:p>
        </w:tc>
        <w:tc>
          <w:tcPr>
            <w:tcW w:w="1417" w:type="dxa"/>
            <w:shd w:val="clear" w:color="auto" w:fill="BFBFBF"/>
          </w:tcPr>
          <w:p w:rsidR="006A38A4" w:rsidRDefault="00542866" w:rsidP="00C31575">
            <w:pPr>
              <w:jc w:val="right"/>
            </w:pPr>
            <w:r>
              <w:t>949,4</w:t>
            </w:r>
          </w:p>
        </w:tc>
        <w:tc>
          <w:tcPr>
            <w:tcW w:w="1418" w:type="dxa"/>
            <w:shd w:val="clear" w:color="auto" w:fill="BFBFBF"/>
          </w:tcPr>
          <w:p w:rsidR="006A38A4" w:rsidRPr="00C31575" w:rsidRDefault="007A5C6D" w:rsidP="00C31575">
            <w:pPr>
              <w:jc w:val="right"/>
            </w:pPr>
            <w:r>
              <w:t>905,3</w:t>
            </w:r>
          </w:p>
        </w:tc>
        <w:tc>
          <w:tcPr>
            <w:tcW w:w="1417" w:type="dxa"/>
            <w:shd w:val="clear" w:color="auto" w:fill="BFBFBF"/>
          </w:tcPr>
          <w:p w:rsidR="006A38A4" w:rsidRPr="00C31575" w:rsidRDefault="007A5C6D" w:rsidP="00C31575">
            <w:pPr>
              <w:jc w:val="right"/>
            </w:pPr>
            <w:r>
              <w:t>929,6</w:t>
            </w:r>
          </w:p>
        </w:tc>
        <w:tc>
          <w:tcPr>
            <w:tcW w:w="1435" w:type="dxa"/>
            <w:shd w:val="clear" w:color="auto" w:fill="BFBFBF"/>
          </w:tcPr>
          <w:p w:rsidR="006A38A4" w:rsidRPr="00C31575" w:rsidRDefault="00C944E1" w:rsidP="00C31575">
            <w:pPr>
              <w:jc w:val="right"/>
            </w:pPr>
            <w:r>
              <w:t>981,4</w:t>
            </w:r>
          </w:p>
        </w:tc>
      </w:tr>
      <w:tr w:rsidR="006A38A4" w:rsidRPr="00C31575" w:rsidTr="00531D56">
        <w:tc>
          <w:tcPr>
            <w:tcW w:w="2660" w:type="dxa"/>
            <w:shd w:val="clear" w:color="auto" w:fill="D9D9D9"/>
          </w:tcPr>
          <w:p w:rsidR="006A38A4" w:rsidRPr="00EE03B9" w:rsidRDefault="006A38A4" w:rsidP="00531D56">
            <w:pPr>
              <w:jc w:val="both"/>
              <w:rPr>
                <w:lang w:val="ru-RU"/>
              </w:rPr>
            </w:pPr>
            <w:r w:rsidRPr="00EE03B9">
              <w:rPr>
                <w:lang w:val="ru-RU"/>
              </w:rPr>
              <w:t xml:space="preserve"> </w:t>
            </w:r>
            <w:r w:rsidR="004D3732" w:rsidRPr="00EE03B9">
              <w:rPr>
                <w:lang w:val="ru-RU"/>
              </w:rPr>
              <w:t>Текући расходи</w:t>
            </w:r>
            <w:r w:rsidR="00531D56" w:rsidRPr="00EE03B9">
              <w:rPr>
                <w:lang w:val="ru-RU"/>
              </w:rPr>
              <w:t>( А+Б+В+Г+Д+Ђ+Е+Ж)</w:t>
            </w:r>
          </w:p>
        </w:tc>
        <w:tc>
          <w:tcPr>
            <w:tcW w:w="1417" w:type="dxa"/>
            <w:shd w:val="clear" w:color="auto" w:fill="D9D9D9"/>
          </w:tcPr>
          <w:p w:rsidR="006A38A4" w:rsidRPr="00A326CA" w:rsidRDefault="004E6FA8" w:rsidP="00531D56">
            <w:pPr>
              <w:jc w:val="right"/>
              <w:rPr>
                <w:lang w:val="sr-Latn-BA"/>
              </w:rPr>
            </w:pPr>
            <w:r>
              <w:t>722,7</w:t>
            </w:r>
          </w:p>
        </w:tc>
        <w:tc>
          <w:tcPr>
            <w:tcW w:w="1418" w:type="dxa"/>
            <w:shd w:val="clear" w:color="auto" w:fill="D9D9D9"/>
          </w:tcPr>
          <w:p w:rsidR="006A38A4" w:rsidRPr="00A326CA" w:rsidRDefault="007A5C6D" w:rsidP="00C31575">
            <w:pPr>
              <w:jc w:val="right"/>
              <w:rPr>
                <w:lang w:val="sr-Latn-BA"/>
              </w:rPr>
            </w:pPr>
            <w:r>
              <w:t>732,2</w:t>
            </w:r>
          </w:p>
        </w:tc>
        <w:tc>
          <w:tcPr>
            <w:tcW w:w="1417" w:type="dxa"/>
            <w:shd w:val="clear" w:color="auto" w:fill="D9D9D9"/>
          </w:tcPr>
          <w:p w:rsidR="006A38A4" w:rsidRPr="00A326CA" w:rsidRDefault="007A5C6D" w:rsidP="00C31575">
            <w:pPr>
              <w:jc w:val="right"/>
              <w:rPr>
                <w:lang w:val="sr-Latn-BA"/>
              </w:rPr>
            </w:pPr>
            <w:r>
              <w:t>741,0</w:t>
            </w:r>
          </w:p>
        </w:tc>
        <w:tc>
          <w:tcPr>
            <w:tcW w:w="1435" w:type="dxa"/>
            <w:shd w:val="clear" w:color="auto" w:fill="D9D9D9"/>
          </w:tcPr>
          <w:p w:rsidR="006A38A4" w:rsidRPr="005975B3" w:rsidRDefault="00C944E1" w:rsidP="00C31575">
            <w:pPr>
              <w:jc w:val="right"/>
              <w:rPr>
                <w:lang w:val="sr-Latn-BA"/>
              </w:rPr>
            </w:pPr>
            <w:r>
              <w:t>751,9</w:t>
            </w:r>
          </w:p>
        </w:tc>
      </w:tr>
      <w:tr w:rsidR="006A38A4" w:rsidRPr="00C31575" w:rsidTr="00531D56">
        <w:tc>
          <w:tcPr>
            <w:tcW w:w="2660" w:type="dxa"/>
            <w:shd w:val="clear" w:color="auto" w:fill="FFFFFF"/>
          </w:tcPr>
          <w:p w:rsidR="006A38A4" w:rsidRPr="00EE03B9" w:rsidRDefault="00DA4C11" w:rsidP="00DA4C11">
            <w:pPr>
              <w:jc w:val="both"/>
              <w:rPr>
                <w:lang w:val="ru-RU"/>
              </w:rPr>
            </w:pPr>
            <w:r w:rsidRPr="00EE03B9">
              <w:rPr>
                <w:lang w:val="ru-RU"/>
              </w:rPr>
              <w:t xml:space="preserve">А.  </w:t>
            </w:r>
            <w:r w:rsidR="006A38A4" w:rsidRPr="00EE03B9">
              <w:rPr>
                <w:lang w:val="ru-RU"/>
              </w:rPr>
              <w:t>Расходи за лична примања</w:t>
            </w:r>
          </w:p>
        </w:tc>
        <w:tc>
          <w:tcPr>
            <w:tcW w:w="1417" w:type="dxa"/>
            <w:shd w:val="clear" w:color="auto" w:fill="FFFFFF"/>
          </w:tcPr>
          <w:p w:rsidR="006A38A4" w:rsidRPr="00A326CA" w:rsidRDefault="00542866" w:rsidP="00C31575">
            <w:pPr>
              <w:jc w:val="right"/>
              <w:rPr>
                <w:lang w:val="sr-Latn-BA"/>
              </w:rPr>
            </w:pPr>
            <w:r>
              <w:rPr>
                <w:lang w:val="sr-Latn-BA"/>
              </w:rPr>
              <w:t>303,0</w:t>
            </w:r>
          </w:p>
        </w:tc>
        <w:tc>
          <w:tcPr>
            <w:tcW w:w="1418" w:type="dxa"/>
            <w:shd w:val="clear" w:color="auto" w:fill="FFFFFF"/>
          </w:tcPr>
          <w:p w:rsidR="006A38A4" w:rsidRPr="00A326CA" w:rsidRDefault="007A5C6D" w:rsidP="00C31575">
            <w:pPr>
              <w:jc w:val="right"/>
              <w:rPr>
                <w:lang w:val="sr-Latn-BA"/>
              </w:rPr>
            </w:pPr>
            <w:r>
              <w:t>318,9</w:t>
            </w:r>
          </w:p>
        </w:tc>
        <w:tc>
          <w:tcPr>
            <w:tcW w:w="1417" w:type="dxa"/>
            <w:shd w:val="clear" w:color="auto" w:fill="FFFFFF"/>
          </w:tcPr>
          <w:p w:rsidR="006A38A4" w:rsidRPr="00A326CA" w:rsidRDefault="00C944E1" w:rsidP="00C31575">
            <w:pPr>
              <w:jc w:val="right"/>
              <w:rPr>
                <w:lang w:val="sr-Latn-BA"/>
              </w:rPr>
            </w:pPr>
            <w:r>
              <w:t>322,3</w:t>
            </w:r>
          </w:p>
        </w:tc>
        <w:tc>
          <w:tcPr>
            <w:tcW w:w="1435" w:type="dxa"/>
            <w:shd w:val="clear" w:color="auto" w:fill="FFFFFF"/>
          </w:tcPr>
          <w:p w:rsidR="006A38A4" w:rsidRPr="005975B3" w:rsidRDefault="00C944E1" w:rsidP="00C31575">
            <w:pPr>
              <w:jc w:val="right"/>
              <w:rPr>
                <w:lang w:val="sr-Latn-BA"/>
              </w:rPr>
            </w:pPr>
            <w:r>
              <w:t>326,0</w:t>
            </w:r>
          </w:p>
        </w:tc>
      </w:tr>
      <w:tr w:rsidR="006A38A4" w:rsidRPr="00C31575" w:rsidTr="00531D56">
        <w:tc>
          <w:tcPr>
            <w:tcW w:w="2660" w:type="dxa"/>
            <w:shd w:val="clear" w:color="auto" w:fill="FFFFFF"/>
          </w:tcPr>
          <w:p w:rsidR="006A38A4" w:rsidRPr="00EE03B9" w:rsidRDefault="00DA4C11" w:rsidP="00DA4C11">
            <w:pPr>
              <w:jc w:val="both"/>
              <w:rPr>
                <w:lang w:val="ru-RU"/>
              </w:rPr>
            </w:pPr>
            <w:r w:rsidRPr="00EE03B9">
              <w:rPr>
                <w:lang w:val="ru-RU"/>
              </w:rPr>
              <w:t xml:space="preserve">Б. </w:t>
            </w:r>
            <w:r w:rsidR="006A38A4" w:rsidRPr="00EE03B9">
              <w:rPr>
                <w:lang w:val="ru-RU"/>
              </w:rPr>
              <w:t>Расходи по основу кориштења роба</w:t>
            </w:r>
          </w:p>
        </w:tc>
        <w:tc>
          <w:tcPr>
            <w:tcW w:w="1417" w:type="dxa"/>
            <w:shd w:val="clear" w:color="auto" w:fill="FFFFFF"/>
          </w:tcPr>
          <w:p w:rsidR="006A38A4" w:rsidRPr="00A326CA" w:rsidRDefault="000564F1" w:rsidP="00DA4C11">
            <w:pPr>
              <w:jc w:val="right"/>
              <w:rPr>
                <w:lang w:val="sr-Latn-BA"/>
              </w:rPr>
            </w:pPr>
            <w:r>
              <w:t>1</w:t>
            </w:r>
            <w:r w:rsidR="00542866">
              <w:t>58,4</w:t>
            </w:r>
          </w:p>
        </w:tc>
        <w:tc>
          <w:tcPr>
            <w:tcW w:w="1418" w:type="dxa"/>
            <w:shd w:val="clear" w:color="auto" w:fill="FFFFFF"/>
          </w:tcPr>
          <w:p w:rsidR="006A38A4" w:rsidRPr="00A326CA" w:rsidRDefault="007A5C6D" w:rsidP="00DA4C11">
            <w:pPr>
              <w:jc w:val="right"/>
              <w:rPr>
                <w:lang w:val="sr-Latn-BA"/>
              </w:rPr>
            </w:pPr>
            <w:r>
              <w:t>164,6</w:t>
            </w:r>
          </w:p>
        </w:tc>
        <w:tc>
          <w:tcPr>
            <w:tcW w:w="1417" w:type="dxa"/>
            <w:shd w:val="clear" w:color="auto" w:fill="FFFFFF"/>
          </w:tcPr>
          <w:p w:rsidR="006A38A4" w:rsidRPr="00A326CA" w:rsidRDefault="00C944E1" w:rsidP="00DA4C11">
            <w:pPr>
              <w:jc w:val="right"/>
              <w:rPr>
                <w:lang w:val="sr-Latn-BA"/>
              </w:rPr>
            </w:pPr>
            <w:r>
              <w:t>167,9</w:t>
            </w:r>
          </w:p>
        </w:tc>
        <w:tc>
          <w:tcPr>
            <w:tcW w:w="1435" w:type="dxa"/>
            <w:shd w:val="clear" w:color="auto" w:fill="FFFFFF"/>
          </w:tcPr>
          <w:p w:rsidR="006A38A4" w:rsidRPr="005975B3" w:rsidRDefault="005975B3" w:rsidP="00DA4C11">
            <w:pPr>
              <w:jc w:val="right"/>
              <w:rPr>
                <w:lang w:val="sr-Latn-BA"/>
              </w:rPr>
            </w:pPr>
            <w:r>
              <w:t>1</w:t>
            </w:r>
            <w:r w:rsidR="00C944E1">
              <w:rPr>
                <w:lang w:val="sr-Latn-BA"/>
              </w:rPr>
              <w:t>71,2</w:t>
            </w:r>
          </w:p>
        </w:tc>
      </w:tr>
      <w:tr w:rsidR="006A38A4" w:rsidRPr="00C31575" w:rsidTr="00531D56">
        <w:tc>
          <w:tcPr>
            <w:tcW w:w="2660" w:type="dxa"/>
            <w:shd w:val="clear" w:color="auto" w:fill="FFFFFF"/>
          </w:tcPr>
          <w:p w:rsidR="006A38A4" w:rsidRDefault="00DA4C11" w:rsidP="00DA4C11">
            <w:pPr>
              <w:jc w:val="both"/>
            </w:pPr>
            <w:r>
              <w:t xml:space="preserve">В. </w:t>
            </w:r>
            <w:r w:rsidR="006A38A4">
              <w:t>Расходи финансирања</w:t>
            </w:r>
          </w:p>
        </w:tc>
        <w:tc>
          <w:tcPr>
            <w:tcW w:w="1417" w:type="dxa"/>
            <w:shd w:val="clear" w:color="auto" w:fill="FFFFFF"/>
          </w:tcPr>
          <w:p w:rsidR="006A38A4" w:rsidRPr="00A326CA" w:rsidRDefault="001B19B8" w:rsidP="00DA4C11">
            <w:pPr>
              <w:jc w:val="right"/>
              <w:rPr>
                <w:lang w:val="sr-Latn-BA"/>
              </w:rPr>
            </w:pPr>
            <w:r>
              <w:rPr>
                <w:lang w:val="sr-Latn-BA"/>
              </w:rPr>
              <w:t>1</w:t>
            </w:r>
            <w:r w:rsidR="00542866">
              <w:rPr>
                <w:lang w:val="sr-Latn-BA"/>
              </w:rPr>
              <w:t>5,7</w:t>
            </w:r>
          </w:p>
        </w:tc>
        <w:tc>
          <w:tcPr>
            <w:tcW w:w="1418" w:type="dxa"/>
            <w:shd w:val="clear" w:color="auto" w:fill="FFFFFF"/>
          </w:tcPr>
          <w:p w:rsidR="006A38A4" w:rsidRPr="00A326CA" w:rsidRDefault="00A326CA" w:rsidP="00DA4C11">
            <w:pPr>
              <w:jc w:val="right"/>
              <w:rPr>
                <w:lang w:val="sr-Latn-BA"/>
              </w:rPr>
            </w:pPr>
            <w:r>
              <w:rPr>
                <w:lang w:val="sr-Latn-BA"/>
              </w:rPr>
              <w:t>1</w:t>
            </w:r>
            <w:r w:rsidR="007A5C6D">
              <w:rPr>
                <w:lang w:val="sr-Latn-BA"/>
              </w:rPr>
              <w:t>3,0</w:t>
            </w:r>
          </w:p>
        </w:tc>
        <w:tc>
          <w:tcPr>
            <w:tcW w:w="1417" w:type="dxa"/>
            <w:shd w:val="clear" w:color="auto" w:fill="FFFFFF"/>
          </w:tcPr>
          <w:p w:rsidR="006A38A4" w:rsidRPr="00A326CA" w:rsidRDefault="00C944E1" w:rsidP="00DA4C11">
            <w:pPr>
              <w:jc w:val="right"/>
              <w:rPr>
                <w:lang w:val="sr-Latn-BA"/>
              </w:rPr>
            </w:pPr>
            <w:r>
              <w:t>11,7</w:t>
            </w:r>
          </w:p>
        </w:tc>
        <w:tc>
          <w:tcPr>
            <w:tcW w:w="1435" w:type="dxa"/>
            <w:shd w:val="clear" w:color="auto" w:fill="FFFFFF"/>
          </w:tcPr>
          <w:p w:rsidR="006A38A4" w:rsidRPr="005975B3" w:rsidRDefault="005975B3" w:rsidP="00DA4C11">
            <w:pPr>
              <w:jc w:val="right"/>
              <w:rPr>
                <w:lang w:val="sr-Latn-BA"/>
              </w:rPr>
            </w:pPr>
            <w:r>
              <w:rPr>
                <w:lang w:val="sr-Latn-BA"/>
              </w:rPr>
              <w:t>1</w:t>
            </w:r>
            <w:r w:rsidR="00C944E1">
              <w:rPr>
                <w:lang w:val="sr-Latn-BA"/>
              </w:rPr>
              <w:t>0,1</w:t>
            </w:r>
          </w:p>
        </w:tc>
      </w:tr>
      <w:tr w:rsidR="006A38A4" w:rsidRPr="00C31575" w:rsidTr="00531D56">
        <w:tc>
          <w:tcPr>
            <w:tcW w:w="2660" w:type="dxa"/>
            <w:shd w:val="clear" w:color="auto" w:fill="FFFFFF"/>
          </w:tcPr>
          <w:p w:rsidR="006A38A4" w:rsidRDefault="00DA4C11" w:rsidP="00DA4C11">
            <w:pPr>
              <w:jc w:val="both"/>
            </w:pPr>
            <w:r>
              <w:t xml:space="preserve">Г. </w:t>
            </w:r>
            <w:r w:rsidR="006A38A4">
              <w:t>Субвенције</w:t>
            </w:r>
          </w:p>
        </w:tc>
        <w:tc>
          <w:tcPr>
            <w:tcW w:w="1417" w:type="dxa"/>
            <w:shd w:val="clear" w:color="auto" w:fill="FFFFFF"/>
          </w:tcPr>
          <w:p w:rsidR="006A38A4" w:rsidRPr="00A326CA" w:rsidRDefault="00542866" w:rsidP="00DA4C11">
            <w:pPr>
              <w:jc w:val="right"/>
              <w:rPr>
                <w:lang w:val="sr-Latn-BA"/>
              </w:rPr>
            </w:pPr>
            <w:r>
              <w:rPr>
                <w:lang w:val="sr-Latn-BA"/>
              </w:rPr>
              <w:t>24,4</w:t>
            </w:r>
          </w:p>
        </w:tc>
        <w:tc>
          <w:tcPr>
            <w:tcW w:w="1418" w:type="dxa"/>
            <w:shd w:val="clear" w:color="auto" w:fill="FFFFFF"/>
          </w:tcPr>
          <w:p w:rsidR="006A38A4" w:rsidRPr="00A326CA" w:rsidRDefault="007A5C6D" w:rsidP="00DA4C11">
            <w:pPr>
              <w:jc w:val="right"/>
              <w:rPr>
                <w:lang w:val="sr-Latn-BA"/>
              </w:rPr>
            </w:pPr>
            <w:r>
              <w:rPr>
                <w:lang w:val="sr-Latn-BA"/>
              </w:rPr>
              <w:t>25,1</w:t>
            </w:r>
          </w:p>
        </w:tc>
        <w:tc>
          <w:tcPr>
            <w:tcW w:w="1417" w:type="dxa"/>
            <w:shd w:val="clear" w:color="auto" w:fill="FFFFFF"/>
          </w:tcPr>
          <w:p w:rsidR="006A38A4" w:rsidRDefault="00C944E1" w:rsidP="00DA4C11">
            <w:pPr>
              <w:jc w:val="right"/>
            </w:pPr>
            <w:r>
              <w:t>25,5</w:t>
            </w:r>
          </w:p>
        </w:tc>
        <w:tc>
          <w:tcPr>
            <w:tcW w:w="1435" w:type="dxa"/>
            <w:shd w:val="clear" w:color="auto" w:fill="FFFFFF"/>
          </w:tcPr>
          <w:p w:rsidR="006A38A4" w:rsidRDefault="00C944E1" w:rsidP="00DA4C11">
            <w:pPr>
              <w:jc w:val="right"/>
            </w:pPr>
            <w:r>
              <w:t>26,0</w:t>
            </w:r>
          </w:p>
        </w:tc>
      </w:tr>
      <w:tr w:rsidR="006A38A4" w:rsidRPr="00C31575" w:rsidTr="00531D56">
        <w:tc>
          <w:tcPr>
            <w:tcW w:w="2660" w:type="dxa"/>
            <w:shd w:val="clear" w:color="auto" w:fill="FFFFFF"/>
          </w:tcPr>
          <w:p w:rsidR="006A38A4" w:rsidRDefault="00DA4C11" w:rsidP="00DA4C11">
            <w:pPr>
              <w:jc w:val="both"/>
            </w:pPr>
            <w:r>
              <w:t xml:space="preserve">Д. </w:t>
            </w:r>
            <w:r w:rsidR="006A38A4">
              <w:t>Грантови</w:t>
            </w:r>
          </w:p>
        </w:tc>
        <w:tc>
          <w:tcPr>
            <w:tcW w:w="1417" w:type="dxa"/>
            <w:shd w:val="clear" w:color="auto" w:fill="FFFFFF"/>
          </w:tcPr>
          <w:p w:rsidR="006A38A4" w:rsidRPr="00A326CA" w:rsidRDefault="00542866" w:rsidP="00DA4C11">
            <w:pPr>
              <w:jc w:val="right"/>
              <w:rPr>
                <w:lang w:val="sr-Latn-BA"/>
              </w:rPr>
            </w:pPr>
            <w:r>
              <w:rPr>
                <w:lang w:val="sr-Latn-BA"/>
              </w:rPr>
              <w:t>85,5</w:t>
            </w:r>
          </w:p>
        </w:tc>
        <w:tc>
          <w:tcPr>
            <w:tcW w:w="1418" w:type="dxa"/>
            <w:shd w:val="clear" w:color="auto" w:fill="FFFFFF"/>
          </w:tcPr>
          <w:p w:rsidR="006A38A4" w:rsidRPr="00A326CA" w:rsidRDefault="007A5C6D" w:rsidP="00DA4C11">
            <w:pPr>
              <w:jc w:val="right"/>
              <w:rPr>
                <w:lang w:val="sr-Latn-BA"/>
              </w:rPr>
            </w:pPr>
            <w:r>
              <w:t>84,5</w:t>
            </w:r>
          </w:p>
        </w:tc>
        <w:tc>
          <w:tcPr>
            <w:tcW w:w="1417" w:type="dxa"/>
            <w:shd w:val="clear" w:color="auto" w:fill="FFFFFF"/>
          </w:tcPr>
          <w:p w:rsidR="006A38A4" w:rsidRPr="00A326CA" w:rsidRDefault="00C944E1" w:rsidP="00DA4C11">
            <w:pPr>
              <w:jc w:val="right"/>
              <w:rPr>
                <w:lang w:val="sr-Latn-BA"/>
              </w:rPr>
            </w:pPr>
            <w:r>
              <w:t>85,1</w:t>
            </w:r>
          </w:p>
        </w:tc>
        <w:tc>
          <w:tcPr>
            <w:tcW w:w="1435" w:type="dxa"/>
            <w:shd w:val="clear" w:color="auto" w:fill="FFFFFF"/>
          </w:tcPr>
          <w:p w:rsidR="006A38A4" w:rsidRPr="005975B3" w:rsidRDefault="00C944E1" w:rsidP="00DA4C11">
            <w:pPr>
              <w:jc w:val="right"/>
              <w:rPr>
                <w:lang w:val="sr-Latn-BA"/>
              </w:rPr>
            </w:pPr>
            <w:r>
              <w:rPr>
                <w:lang w:val="sr-Latn-BA"/>
              </w:rPr>
              <w:t>87,5</w:t>
            </w:r>
          </w:p>
        </w:tc>
      </w:tr>
      <w:tr w:rsidR="006A38A4" w:rsidRPr="00C31575" w:rsidTr="00531D56">
        <w:tc>
          <w:tcPr>
            <w:tcW w:w="2660" w:type="dxa"/>
            <w:shd w:val="clear" w:color="auto" w:fill="FFFFFF"/>
          </w:tcPr>
          <w:p w:rsidR="006A38A4" w:rsidRPr="00EE03B9" w:rsidRDefault="00DA4C11" w:rsidP="00DA4C11">
            <w:pPr>
              <w:jc w:val="both"/>
              <w:rPr>
                <w:lang w:val="ru-RU"/>
              </w:rPr>
            </w:pPr>
            <w:r w:rsidRPr="00EE03B9">
              <w:rPr>
                <w:lang w:val="ru-RU"/>
              </w:rPr>
              <w:t xml:space="preserve">Ђ. </w:t>
            </w:r>
            <w:r w:rsidR="006A38A4" w:rsidRPr="00EE03B9">
              <w:rPr>
                <w:lang w:val="ru-RU"/>
              </w:rPr>
              <w:t>Дознаке на име социјалне заштите</w:t>
            </w:r>
          </w:p>
        </w:tc>
        <w:tc>
          <w:tcPr>
            <w:tcW w:w="1417" w:type="dxa"/>
            <w:shd w:val="clear" w:color="auto" w:fill="FFFFFF"/>
          </w:tcPr>
          <w:p w:rsidR="006A38A4" w:rsidRPr="00A326CA" w:rsidRDefault="000564F1" w:rsidP="00DA4C11">
            <w:pPr>
              <w:jc w:val="right"/>
              <w:rPr>
                <w:lang w:val="sr-Latn-BA"/>
              </w:rPr>
            </w:pPr>
            <w:r>
              <w:rPr>
                <w:lang w:val="sr-Latn-BA"/>
              </w:rPr>
              <w:t>1</w:t>
            </w:r>
            <w:r w:rsidR="00542866">
              <w:rPr>
                <w:lang w:val="sr-Latn-BA"/>
              </w:rPr>
              <w:t>15,0</w:t>
            </w:r>
          </w:p>
        </w:tc>
        <w:tc>
          <w:tcPr>
            <w:tcW w:w="1418" w:type="dxa"/>
            <w:shd w:val="clear" w:color="auto" w:fill="FFFFFF"/>
          </w:tcPr>
          <w:p w:rsidR="006A38A4" w:rsidRPr="00A326CA" w:rsidRDefault="000564F1" w:rsidP="00DA4C11">
            <w:pPr>
              <w:jc w:val="right"/>
              <w:rPr>
                <w:lang w:val="sr-Latn-BA"/>
              </w:rPr>
            </w:pPr>
            <w:r>
              <w:rPr>
                <w:lang w:val="sr-Latn-BA"/>
              </w:rPr>
              <w:t>1</w:t>
            </w:r>
            <w:r w:rsidR="007A5C6D">
              <w:rPr>
                <w:lang w:val="sr-Latn-BA"/>
              </w:rPr>
              <w:t>21,4</w:t>
            </w:r>
          </w:p>
        </w:tc>
        <w:tc>
          <w:tcPr>
            <w:tcW w:w="1417" w:type="dxa"/>
            <w:shd w:val="clear" w:color="auto" w:fill="FFFFFF"/>
          </w:tcPr>
          <w:p w:rsidR="006A38A4" w:rsidRDefault="00C944E1" w:rsidP="00DA4C11">
            <w:pPr>
              <w:jc w:val="right"/>
            </w:pPr>
            <w:r>
              <w:t>123,8</w:t>
            </w:r>
          </w:p>
        </w:tc>
        <w:tc>
          <w:tcPr>
            <w:tcW w:w="1435" w:type="dxa"/>
            <w:shd w:val="clear" w:color="auto" w:fill="FFFFFF"/>
          </w:tcPr>
          <w:p w:rsidR="006A38A4" w:rsidRPr="005975B3" w:rsidRDefault="00C944E1" w:rsidP="00DA4C11">
            <w:pPr>
              <w:jc w:val="right"/>
              <w:rPr>
                <w:lang w:val="sr-Latn-BA"/>
              </w:rPr>
            </w:pPr>
            <w:r>
              <w:t>126,3</w:t>
            </w:r>
          </w:p>
        </w:tc>
      </w:tr>
      <w:tr w:rsidR="006A38A4" w:rsidRPr="00C31575" w:rsidTr="00531D56">
        <w:tc>
          <w:tcPr>
            <w:tcW w:w="2660" w:type="dxa"/>
            <w:shd w:val="clear" w:color="auto" w:fill="FFFFFF"/>
          </w:tcPr>
          <w:p w:rsidR="006A38A4" w:rsidRDefault="00DA4C11" w:rsidP="00DA4C11">
            <w:pPr>
              <w:jc w:val="both"/>
            </w:pPr>
            <w:r>
              <w:t xml:space="preserve">Е. </w:t>
            </w:r>
            <w:r w:rsidR="006A38A4">
              <w:t xml:space="preserve">Расходи </w:t>
            </w:r>
            <w:r w:rsidR="006A38A4">
              <w:lastRenderedPageBreak/>
              <w:t>трансакција</w:t>
            </w:r>
          </w:p>
        </w:tc>
        <w:tc>
          <w:tcPr>
            <w:tcW w:w="1417" w:type="dxa"/>
            <w:shd w:val="clear" w:color="auto" w:fill="FFFFFF"/>
          </w:tcPr>
          <w:p w:rsidR="006A38A4" w:rsidRPr="00A326CA" w:rsidRDefault="000564F1" w:rsidP="00DA4C11">
            <w:pPr>
              <w:jc w:val="right"/>
              <w:rPr>
                <w:lang w:val="sr-Latn-BA"/>
              </w:rPr>
            </w:pPr>
            <w:r>
              <w:lastRenderedPageBreak/>
              <w:t>2,</w:t>
            </w:r>
            <w:r w:rsidR="00542866">
              <w:t>1</w:t>
            </w:r>
          </w:p>
        </w:tc>
        <w:tc>
          <w:tcPr>
            <w:tcW w:w="1418" w:type="dxa"/>
            <w:shd w:val="clear" w:color="auto" w:fill="FFFFFF"/>
          </w:tcPr>
          <w:p w:rsidR="006A38A4" w:rsidRPr="00A326CA" w:rsidRDefault="007A5C6D" w:rsidP="00DA4C11">
            <w:pPr>
              <w:jc w:val="right"/>
              <w:rPr>
                <w:lang w:val="sr-Latn-BA"/>
              </w:rPr>
            </w:pPr>
            <w:r>
              <w:t>1,8</w:t>
            </w:r>
          </w:p>
        </w:tc>
        <w:tc>
          <w:tcPr>
            <w:tcW w:w="1417" w:type="dxa"/>
            <w:shd w:val="clear" w:color="auto" w:fill="FFFFFF"/>
          </w:tcPr>
          <w:p w:rsidR="006A38A4" w:rsidRPr="00A326CA" w:rsidRDefault="00C944E1" w:rsidP="00DA4C11">
            <w:pPr>
              <w:jc w:val="right"/>
              <w:rPr>
                <w:lang w:val="sr-Latn-BA"/>
              </w:rPr>
            </w:pPr>
            <w:r>
              <w:t>2,1</w:t>
            </w:r>
          </w:p>
        </w:tc>
        <w:tc>
          <w:tcPr>
            <w:tcW w:w="1435" w:type="dxa"/>
            <w:shd w:val="clear" w:color="auto" w:fill="FFFFFF"/>
          </w:tcPr>
          <w:p w:rsidR="006A38A4" w:rsidRPr="005975B3" w:rsidRDefault="00C944E1" w:rsidP="00DA4C11">
            <w:pPr>
              <w:jc w:val="right"/>
              <w:rPr>
                <w:lang w:val="sr-Latn-BA"/>
              </w:rPr>
            </w:pPr>
            <w:r>
              <w:t>2,3</w:t>
            </w:r>
          </w:p>
        </w:tc>
      </w:tr>
      <w:tr w:rsidR="006A38A4" w:rsidRPr="00C31575" w:rsidTr="00531D56">
        <w:tc>
          <w:tcPr>
            <w:tcW w:w="2660" w:type="dxa"/>
            <w:shd w:val="clear" w:color="auto" w:fill="FFFFFF"/>
          </w:tcPr>
          <w:p w:rsidR="006A38A4" w:rsidRPr="00EE03B9" w:rsidRDefault="00DA4C11" w:rsidP="00DA4C11">
            <w:pPr>
              <w:jc w:val="both"/>
              <w:rPr>
                <w:lang w:val="ru-RU"/>
              </w:rPr>
            </w:pPr>
            <w:r w:rsidRPr="00EE03B9">
              <w:rPr>
                <w:lang w:val="ru-RU"/>
              </w:rPr>
              <w:lastRenderedPageBreak/>
              <w:t xml:space="preserve">Ж. </w:t>
            </w:r>
            <w:r w:rsidR="006A38A4" w:rsidRPr="00EE03B9">
              <w:rPr>
                <w:lang w:val="ru-RU"/>
              </w:rPr>
              <w:t>Расходи по судским рјешењима</w:t>
            </w:r>
          </w:p>
        </w:tc>
        <w:tc>
          <w:tcPr>
            <w:tcW w:w="1417" w:type="dxa"/>
            <w:shd w:val="clear" w:color="auto" w:fill="FFFFFF"/>
          </w:tcPr>
          <w:p w:rsidR="006A38A4" w:rsidRPr="00A326CA" w:rsidRDefault="000564F1" w:rsidP="00DA4C11">
            <w:pPr>
              <w:jc w:val="right"/>
              <w:rPr>
                <w:lang w:val="sr-Latn-BA"/>
              </w:rPr>
            </w:pPr>
            <w:r>
              <w:rPr>
                <w:lang w:val="sr-Latn-BA"/>
              </w:rPr>
              <w:t>3,</w:t>
            </w:r>
            <w:r w:rsidR="00542866">
              <w:rPr>
                <w:lang w:val="sr-Latn-BA"/>
              </w:rPr>
              <w:t>4</w:t>
            </w:r>
          </w:p>
        </w:tc>
        <w:tc>
          <w:tcPr>
            <w:tcW w:w="1418" w:type="dxa"/>
            <w:shd w:val="clear" w:color="auto" w:fill="FFFFFF"/>
          </w:tcPr>
          <w:p w:rsidR="006A38A4" w:rsidRPr="00A326CA" w:rsidRDefault="007A5C6D" w:rsidP="00DA4C11">
            <w:pPr>
              <w:jc w:val="right"/>
              <w:rPr>
                <w:lang w:val="sr-Latn-BA"/>
              </w:rPr>
            </w:pPr>
            <w:r>
              <w:rPr>
                <w:lang w:val="sr-Latn-BA"/>
              </w:rPr>
              <w:t>2,8</w:t>
            </w:r>
          </w:p>
        </w:tc>
        <w:tc>
          <w:tcPr>
            <w:tcW w:w="1417" w:type="dxa"/>
            <w:shd w:val="clear" w:color="auto" w:fill="FFFFFF"/>
          </w:tcPr>
          <w:p w:rsidR="006A38A4" w:rsidRDefault="00C944E1" w:rsidP="00DA4C11">
            <w:pPr>
              <w:jc w:val="right"/>
            </w:pPr>
            <w:r>
              <w:t>2,7</w:t>
            </w:r>
          </w:p>
        </w:tc>
        <w:tc>
          <w:tcPr>
            <w:tcW w:w="1435" w:type="dxa"/>
            <w:shd w:val="clear" w:color="auto" w:fill="FFFFFF"/>
          </w:tcPr>
          <w:p w:rsidR="006A38A4" w:rsidRDefault="00C944E1" w:rsidP="00DA4C11">
            <w:pPr>
              <w:jc w:val="right"/>
            </w:pPr>
            <w:r>
              <w:t>2,6</w:t>
            </w:r>
          </w:p>
        </w:tc>
      </w:tr>
    </w:tbl>
    <w:p w:rsidR="00DA4C11" w:rsidRDefault="00720A96" w:rsidP="00DA4C11">
      <w:pPr>
        <w:jc w:val="right"/>
        <w:rPr>
          <w:lang w:val="hr-HR"/>
        </w:rPr>
      </w:pPr>
      <w:r>
        <w:rPr>
          <w:lang w:val="hr-HR"/>
        </w:rPr>
        <w:tab/>
      </w:r>
      <w:r>
        <w:rPr>
          <w:lang w:val="hr-HR"/>
        </w:rPr>
        <w:tab/>
      </w:r>
    </w:p>
    <w:p w:rsidR="00DA4C11" w:rsidRDefault="00DA4C11">
      <w:pPr>
        <w:jc w:val="both"/>
        <w:rPr>
          <w:lang w:val="hr-HR"/>
        </w:rPr>
      </w:pPr>
    </w:p>
    <w:p w:rsidR="00720A96" w:rsidRDefault="005975B3" w:rsidP="00DA4C11">
      <w:pPr>
        <w:jc w:val="center"/>
        <w:rPr>
          <w:b/>
          <w:bCs/>
          <w:lang w:val="hr-HR"/>
        </w:rPr>
      </w:pPr>
      <w:r>
        <w:rPr>
          <w:b/>
          <w:bCs/>
          <w:lang w:val="hr-HR"/>
        </w:rPr>
        <w:t>П</w:t>
      </w:r>
      <w:r w:rsidR="00CC08D0">
        <w:rPr>
          <w:b/>
          <w:bCs/>
          <w:lang w:val="hr-HR"/>
        </w:rPr>
        <w:t xml:space="preserve">ланирана политика Општине у </w:t>
      </w:r>
      <w:r w:rsidR="00567EB0">
        <w:rPr>
          <w:b/>
          <w:bCs/>
          <w:lang w:val="hr-HR"/>
        </w:rPr>
        <w:t>2023</w:t>
      </w:r>
      <w:r w:rsidR="00720A96">
        <w:rPr>
          <w:b/>
          <w:bCs/>
          <w:lang w:val="hr-HR"/>
        </w:rPr>
        <w:t>. години</w:t>
      </w:r>
    </w:p>
    <w:p w:rsidR="00720A96" w:rsidRDefault="00720A96">
      <w:pPr>
        <w:jc w:val="both"/>
        <w:rPr>
          <w:b/>
          <w:bCs/>
          <w:lang w:val="hr-HR"/>
        </w:rPr>
      </w:pPr>
    </w:p>
    <w:p w:rsidR="00720A96" w:rsidRPr="00EE03B9" w:rsidRDefault="00542963" w:rsidP="000C4EBF">
      <w:pPr>
        <w:ind w:firstLine="720"/>
        <w:jc w:val="both"/>
        <w:rPr>
          <w:lang w:val="ru-RU"/>
        </w:rPr>
      </w:pPr>
      <w:r>
        <w:rPr>
          <w:lang w:val="sr-Cyrl-CS"/>
        </w:rPr>
        <w:t>Извршавање свих законских обавеза и задатака који се односе</w:t>
      </w:r>
      <w:r w:rsidR="00C44904">
        <w:rPr>
          <w:lang w:val="sr-Cyrl-CS"/>
        </w:rPr>
        <w:t xml:space="preserve"> на локалну управу,ефикасније кориштење расположивих финансијских  и свих других ресурса у циљу задовољавања потреба грађана основна су политика општине Лопаре.</w:t>
      </w:r>
      <w:r w:rsidR="00C44904">
        <w:rPr>
          <w:lang w:val="hr-HR"/>
        </w:rPr>
        <w:t xml:space="preserve"> </w:t>
      </w:r>
      <w:r w:rsidR="00720A96">
        <w:rPr>
          <w:lang w:val="hr-HR"/>
        </w:rPr>
        <w:t>Ефикаснијим убирањем</w:t>
      </w:r>
      <w:r w:rsidR="00C44904" w:rsidRPr="00EE03B9">
        <w:rPr>
          <w:lang w:val="ru-RU"/>
        </w:rPr>
        <w:t xml:space="preserve"> прије свега,непореских</w:t>
      </w:r>
      <w:r w:rsidR="00720A96">
        <w:rPr>
          <w:lang w:val="hr-HR"/>
        </w:rPr>
        <w:t xml:space="preserve"> прихода и рационалнијом потрошњом створиће се услови за стабилан буџет, што је основа економске политике општине Лопаре.</w:t>
      </w:r>
      <w:r w:rsidR="00C44904" w:rsidRPr="00EE03B9">
        <w:rPr>
          <w:lang w:val="ru-RU"/>
        </w:rPr>
        <w:t>Основно опредјељење локалне власти је да се припреми буџет који је остварив и стабилан,а да се истовремено у структури буџетског документа препознају дефинисани циљеви,политике,</w:t>
      </w:r>
      <w:r w:rsidR="00256489" w:rsidRPr="00EE03B9">
        <w:rPr>
          <w:lang w:val="ru-RU"/>
        </w:rPr>
        <w:t>програми и услуге.</w:t>
      </w:r>
    </w:p>
    <w:p w:rsidR="00720A96" w:rsidRDefault="000C4EBF">
      <w:pPr>
        <w:jc w:val="both"/>
        <w:rPr>
          <w:lang w:val="sr-Cyrl-CS"/>
        </w:rPr>
      </w:pPr>
      <w:r>
        <w:rPr>
          <w:lang w:val="hr-HR"/>
        </w:rPr>
        <w:tab/>
      </w:r>
      <w:r w:rsidR="00720A96">
        <w:rPr>
          <w:lang w:val="hr-HR"/>
        </w:rPr>
        <w:t xml:space="preserve">Обзиром на скромне буџетске могућности за капитална улагања општинско руководство ће настојати да проналази алтернативне услове финансирања. Тако ће </w:t>
      </w:r>
      <w:r w:rsidR="00720A96">
        <w:rPr>
          <w:lang w:val="sr-Cyrl-CS"/>
        </w:rPr>
        <w:t>се проналазити нове донаторске организације и</w:t>
      </w:r>
      <w:r w:rsidR="00720A96">
        <w:rPr>
          <w:lang w:val="hr-HR"/>
        </w:rPr>
        <w:t xml:space="preserve"> наставити сарадњ</w:t>
      </w:r>
      <w:r w:rsidR="00720A96">
        <w:rPr>
          <w:lang w:val="sr-Cyrl-CS"/>
        </w:rPr>
        <w:t>а</w:t>
      </w:r>
      <w:r w:rsidR="00720A96">
        <w:rPr>
          <w:lang w:val="hr-HR"/>
        </w:rPr>
        <w:t xml:space="preserve"> са </w:t>
      </w:r>
      <w:r w:rsidR="00720A96">
        <w:rPr>
          <w:lang w:val="sr-Cyrl-CS"/>
        </w:rPr>
        <w:t>Министарствима Владе РС и</w:t>
      </w:r>
      <w:r w:rsidR="00567EB0">
        <w:rPr>
          <w:lang w:val="hr-HR"/>
        </w:rPr>
        <w:t xml:space="preserve"> д</w:t>
      </w:r>
      <w:r w:rsidR="00567EB0">
        <w:rPr>
          <w:lang w:val="sr-Cyrl-BA"/>
        </w:rPr>
        <w:t>ругим институцијама</w:t>
      </w:r>
      <w:r w:rsidR="00720A96">
        <w:rPr>
          <w:lang w:val="sr-Cyrl-CS"/>
        </w:rPr>
        <w:t>.</w:t>
      </w:r>
    </w:p>
    <w:p w:rsidR="002D0893" w:rsidRDefault="00720A96" w:rsidP="002D0893">
      <w:pPr>
        <w:jc w:val="both"/>
        <w:rPr>
          <w:lang w:val="sr-Cyrl-BA"/>
        </w:rPr>
      </w:pPr>
      <w:r>
        <w:rPr>
          <w:lang w:val="sr-Cyrl-BA"/>
        </w:rPr>
        <w:tab/>
      </w:r>
      <w:r>
        <w:rPr>
          <w:lang w:val="sr-Cyrl-BA"/>
        </w:rPr>
        <w:tab/>
      </w:r>
    </w:p>
    <w:p w:rsidR="00720A96" w:rsidRDefault="00720A96">
      <w:pPr>
        <w:jc w:val="both"/>
        <w:rPr>
          <w:lang w:val="sr-Cyrl-BA"/>
        </w:rPr>
      </w:pPr>
      <w:r>
        <w:rPr>
          <w:lang w:val="sr-Cyrl-BA"/>
        </w:rPr>
        <w:t>.</w:t>
      </w:r>
    </w:p>
    <w:p w:rsidR="00720A96" w:rsidRDefault="00720A96">
      <w:pPr>
        <w:jc w:val="center"/>
        <w:rPr>
          <w:b/>
          <w:lang w:val="hr-HR"/>
        </w:rPr>
      </w:pPr>
    </w:p>
    <w:p w:rsidR="00720A96" w:rsidRDefault="00720A96">
      <w:pPr>
        <w:jc w:val="center"/>
        <w:rPr>
          <w:b/>
          <w:lang w:val="sr-Latn-CS"/>
        </w:rPr>
      </w:pPr>
      <w:r>
        <w:rPr>
          <w:b/>
          <w:lang w:val="sr-Latn-CS"/>
        </w:rPr>
        <w:t>III</w:t>
      </w:r>
    </w:p>
    <w:p w:rsidR="00720A96" w:rsidRDefault="00720A96">
      <w:pPr>
        <w:jc w:val="center"/>
        <w:rPr>
          <w:b/>
          <w:lang w:val="hr-HR"/>
        </w:rPr>
      </w:pPr>
    </w:p>
    <w:p w:rsidR="00720A96" w:rsidRDefault="00720A96">
      <w:pPr>
        <w:jc w:val="center"/>
        <w:rPr>
          <w:b/>
          <w:lang w:val="hr-HR"/>
        </w:rPr>
      </w:pPr>
    </w:p>
    <w:p w:rsidR="00720A96" w:rsidRPr="000C4EBF" w:rsidRDefault="00720A96" w:rsidP="000C4EBF">
      <w:pPr>
        <w:jc w:val="center"/>
        <w:rPr>
          <w:b/>
          <w:lang w:val="hr-HR"/>
        </w:rPr>
      </w:pPr>
      <w:r w:rsidRPr="000C4EBF">
        <w:rPr>
          <w:b/>
          <w:lang w:val="hr-HR"/>
        </w:rPr>
        <w:t>Процјена буџетских средстава и издатака Општине за наредну фискалну годину</w:t>
      </w:r>
    </w:p>
    <w:p w:rsidR="00720A96" w:rsidRPr="00EE03B9" w:rsidRDefault="00720A96" w:rsidP="000C4EBF">
      <w:pPr>
        <w:jc w:val="center"/>
        <w:rPr>
          <w:b/>
          <w:lang w:val="ru-RU"/>
        </w:rPr>
      </w:pPr>
    </w:p>
    <w:p w:rsidR="00256489" w:rsidRPr="00EE03B9" w:rsidRDefault="00256489" w:rsidP="00612C54">
      <w:pPr>
        <w:ind w:firstLine="720"/>
        <w:jc w:val="both"/>
        <w:rPr>
          <w:lang w:val="ru-RU"/>
        </w:rPr>
      </w:pPr>
      <w:r w:rsidRPr="00EE03B9">
        <w:rPr>
          <w:lang w:val="ru-RU"/>
        </w:rPr>
        <w:t>Од буџетских корисника се очекује да приликом израде приједлога својих финансијских планова уважавају наведене основне политике локалне власти,</w:t>
      </w:r>
      <w:r w:rsidR="005C7356">
        <w:rPr>
          <w:lang w:val="sr-Latn-BA"/>
        </w:rPr>
        <w:t xml:space="preserve"> </w:t>
      </w:r>
      <w:r w:rsidRPr="00EE03B9">
        <w:rPr>
          <w:lang w:val="ru-RU"/>
        </w:rPr>
        <w:t>те поштују утврђење</w:t>
      </w:r>
      <w:r w:rsidR="00612C54" w:rsidRPr="00EE03B9">
        <w:rPr>
          <w:lang w:val="ru-RU"/>
        </w:rPr>
        <w:t xml:space="preserve"> </w:t>
      </w:r>
      <w:r w:rsidR="005975B3" w:rsidRPr="00EE03B9">
        <w:rPr>
          <w:lang w:val="ru-RU"/>
        </w:rPr>
        <w:t>лимите буџетске потрошње за 20</w:t>
      </w:r>
      <w:r w:rsidR="00567EB0">
        <w:rPr>
          <w:lang w:val="sr-Latn-BA"/>
        </w:rPr>
        <w:t>2</w:t>
      </w:r>
      <w:r w:rsidR="00567EB0">
        <w:rPr>
          <w:lang w:val="sr-Cyrl-BA"/>
        </w:rPr>
        <w:t>3</w:t>
      </w:r>
      <w:r w:rsidR="00A70C51" w:rsidRPr="00EE03B9">
        <w:rPr>
          <w:lang w:val="ru-RU"/>
        </w:rPr>
        <w:t>. г</w:t>
      </w:r>
      <w:r w:rsidR="00612C54" w:rsidRPr="00EE03B9">
        <w:rPr>
          <w:lang w:val="ru-RU"/>
        </w:rPr>
        <w:t>одину.</w:t>
      </w:r>
    </w:p>
    <w:p w:rsidR="00612C54" w:rsidRPr="00EE03B9" w:rsidRDefault="00612C54" w:rsidP="00612C54">
      <w:pPr>
        <w:ind w:firstLine="720"/>
        <w:jc w:val="both"/>
        <w:rPr>
          <w:lang w:val="ru-RU"/>
        </w:rPr>
      </w:pPr>
      <w:r w:rsidRPr="00EE03B9">
        <w:rPr>
          <w:lang w:val="ru-RU"/>
        </w:rPr>
        <w:t>Уважавајући препоруке дате ДОБ-ом, те на основу анализе остварења прихода у протеклом периоду, утврђена је пројекција средстава</w:t>
      </w:r>
      <w:r w:rsidR="005975B3" w:rsidRPr="00EE03B9">
        <w:rPr>
          <w:lang w:val="ru-RU"/>
        </w:rPr>
        <w:t xml:space="preserve"> у буџету општине Лопаре за 20</w:t>
      </w:r>
      <w:r w:rsidR="00F45745">
        <w:rPr>
          <w:lang w:val="sr-Latn-BA"/>
        </w:rPr>
        <w:t>23</w:t>
      </w:r>
      <w:r w:rsidRPr="00EE03B9">
        <w:rPr>
          <w:lang w:val="ru-RU"/>
        </w:rPr>
        <w:t xml:space="preserve">. </w:t>
      </w:r>
      <w:r w:rsidR="00A70C51" w:rsidRPr="00EE03B9">
        <w:rPr>
          <w:lang w:val="ru-RU"/>
        </w:rPr>
        <w:t>г</w:t>
      </w:r>
      <w:r w:rsidRPr="00EE03B9">
        <w:rPr>
          <w:lang w:val="ru-RU"/>
        </w:rPr>
        <w:t>одину</w:t>
      </w:r>
      <w:r w:rsidR="00AF13C8" w:rsidRPr="00EE03B9">
        <w:rPr>
          <w:lang w:val="ru-RU"/>
        </w:rPr>
        <w:t>.</w:t>
      </w:r>
    </w:p>
    <w:p w:rsidR="003F4435" w:rsidRPr="00EE03B9" w:rsidRDefault="003F4435" w:rsidP="00612C54">
      <w:pPr>
        <w:ind w:firstLine="720"/>
        <w:jc w:val="both"/>
        <w:rPr>
          <w:lang w:val="ru-RU"/>
        </w:rPr>
      </w:pPr>
    </w:p>
    <w:p w:rsidR="003F4435" w:rsidRPr="00EE03B9" w:rsidRDefault="003F4435" w:rsidP="00612C54">
      <w:pPr>
        <w:ind w:firstLine="720"/>
        <w:jc w:val="both"/>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087"/>
        <w:gridCol w:w="2087"/>
        <w:gridCol w:w="2087"/>
      </w:tblGrid>
      <w:tr w:rsidR="003F4435" w:rsidRPr="00C31575" w:rsidTr="00C31575">
        <w:tc>
          <w:tcPr>
            <w:tcW w:w="2086" w:type="dxa"/>
          </w:tcPr>
          <w:p w:rsidR="003F4435" w:rsidRPr="00C31575" w:rsidRDefault="003F4435" w:rsidP="00C31575">
            <w:pPr>
              <w:jc w:val="both"/>
            </w:pPr>
            <w:proofErr w:type="spellStart"/>
            <w:r w:rsidRPr="00C31575">
              <w:t>Врста</w:t>
            </w:r>
            <w:proofErr w:type="spellEnd"/>
            <w:r w:rsidRPr="00C31575">
              <w:t xml:space="preserve"> </w:t>
            </w:r>
            <w:proofErr w:type="spellStart"/>
            <w:r w:rsidRPr="00C31575">
              <w:t>прихода</w:t>
            </w:r>
            <w:proofErr w:type="spellEnd"/>
          </w:p>
        </w:tc>
        <w:tc>
          <w:tcPr>
            <w:tcW w:w="2087" w:type="dxa"/>
          </w:tcPr>
          <w:p w:rsidR="003F4435" w:rsidRPr="00C31575" w:rsidRDefault="00C963E9" w:rsidP="00F45745">
            <w:pPr>
              <w:jc w:val="both"/>
            </w:pPr>
            <w:proofErr w:type="spellStart"/>
            <w:r>
              <w:t>Остварење</w:t>
            </w:r>
            <w:proofErr w:type="spellEnd"/>
            <w:r>
              <w:t xml:space="preserve"> 202</w:t>
            </w:r>
            <w:r w:rsidR="00F45745">
              <w:t>1</w:t>
            </w:r>
            <w:r w:rsidR="00896DC2" w:rsidRPr="00C31575">
              <w:t>.</w:t>
            </w:r>
          </w:p>
        </w:tc>
        <w:tc>
          <w:tcPr>
            <w:tcW w:w="2087" w:type="dxa"/>
          </w:tcPr>
          <w:p w:rsidR="003F4435" w:rsidRPr="00C31575" w:rsidRDefault="00046C4B" w:rsidP="00C31575">
            <w:pPr>
              <w:jc w:val="both"/>
            </w:pPr>
            <w:proofErr w:type="spellStart"/>
            <w:r>
              <w:t>План</w:t>
            </w:r>
            <w:proofErr w:type="spellEnd"/>
            <w:r>
              <w:t xml:space="preserve"> </w:t>
            </w:r>
            <w:proofErr w:type="spellStart"/>
            <w:r>
              <w:t>за</w:t>
            </w:r>
            <w:proofErr w:type="spellEnd"/>
            <w:r>
              <w:t xml:space="preserve"> 20</w:t>
            </w:r>
            <w:r w:rsidR="00F45745">
              <w:rPr>
                <w:lang w:val="sr-Latn-BA"/>
              </w:rPr>
              <w:t>22</w:t>
            </w:r>
            <w:r w:rsidR="00896DC2" w:rsidRPr="00C31575">
              <w:t>.</w:t>
            </w:r>
          </w:p>
        </w:tc>
        <w:tc>
          <w:tcPr>
            <w:tcW w:w="2087" w:type="dxa"/>
          </w:tcPr>
          <w:p w:rsidR="003F4435" w:rsidRPr="00C31575" w:rsidRDefault="00046C4B" w:rsidP="00C31575">
            <w:pPr>
              <w:jc w:val="both"/>
            </w:pPr>
            <w:proofErr w:type="spellStart"/>
            <w:r>
              <w:t>Пројекција</w:t>
            </w:r>
            <w:proofErr w:type="spellEnd"/>
            <w:r>
              <w:t xml:space="preserve"> </w:t>
            </w:r>
            <w:proofErr w:type="spellStart"/>
            <w:r>
              <w:t>за</w:t>
            </w:r>
            <w:proofErr w:type="spellEnd"/>
            <w:r>
              <w:t xml:space="preserve"> 20</w:t>
            </w:r>
            <w:r w:rsidR="00F45745">
              <w:rPr>
                <w:lang w:val="sr-Latn-BA"/>
              </w:rPr>
              <w:t>23</w:t>
            </w:r>
            <w:r w:rsidR="00896DC2" w:rsidRPr="00C31575">
              <w:t>.</w:t>
            </w:r>
          </w:p>
        </w:tc>
      </w:tr>
      <w:tr w:rsidR="00896DC2" w:rsidRPr="00F45745" w:rsidTr="00C31575">
        <w:tc>
          <w:tcPr>
            <w:tcW w:w="2086" w:type="dxa"/>
          </w:tcPr>
          <w:p w:rsidR="00896DC2" w:rsidRPr="00C31575" w:rsidRDefault="00896DC2" w:rsidP="00C31575">
            <w:pPr>
              <w:jc w:val="both"/>
            </w:pPr>
            <w:r w:rsidRPr="00C31575">
              <w:t>Порески приходи</w:t>
            </w:r>
          </w:p>
        </w:tc>
        <w:tc>
          <w:tcPr>
            <w:tcW w:w="2087" w:type="dxa"/>
          </w:tcPr>
          <w:p w:rsidR="00896DC2" w:rsidRPr="005178D8" w:rsidRDefault="00F45745" w:rsidP="00C31575">
            <w:pPr>
              <w:jc w:val="right"/>
              <w:rPr>
                <w:color w:val="000000"/>
                <w:lang w:val="sr-Latn-BA"/>
              </w:rPr>
            </w:pPr>
            <w:r>
              <w:rPr>
                <w:bCs/>
                <w:lang w:val="sr-Latn-BA"/>
              </w:rPr>
              <w:t>5</w:t>
            </w:r>
            <w:r w:rsidR="005178D8" w:rsidRPr="00865CD3">
              <w:rPr>
                <w:bCs/>
                <w:lang w:val="ru-RU"/>
              </w:rPr>
              <w:t>.</w:t>
            </w:r>
            <w:r>
              <w:rPr>
                <w:bCs/>
                <w:lang w:val="sr-Latn-BA"/>
              </w:rPr>
              <w:t>300</w:t>
            </w:r>
            <w:r w:rsidR="005178D8" w:rsidRPr="00865CD3">
              <w:rPr>
                <w:bCs/>
                <w:lang w:val="ru-RU"/>
              </w:rPr>
              <w:t>.</w:t>
            </w:r>
            <w:r>
              <w:rPr>
                <w:bCs/>
                <w:lang w:val="sr-Latn-BA"/>
              </w:rPr>
              <w:t>374</w:t>
            </w:r>
          </w:p>
          <w:p w:rsidR="00896DC2" w:rsidRPr="00865CD3" w:rsidRDefault="00896DC2" w:rsidP="00C31575">
            <w:pPr>
              <w:jc w:val="both"/>
              <w:rPr>
                <w:lang w:val="ru-RU"/>
              </w:rPr>
            </w:pPr>
          </w:p>
        </w:tc>
        <w:tc>
          <w:tcPr>
            <w:tcW w:w="2087" w:type="dxa"/>
            <w:vAlign w:val="center"/>
          </w:tcPr>
          <w:p w:rsidR="00896DC2" w:rsidRPr="005178D8" w:rsidRDefault="00F45745" w:rsidP="00C31575">
            <w:pPr>
              <w:jc w:val="right"/>
              <w:rPr>
                <w:color w:val="000000"/>
                <w:lang w:val="sr-Latn-BA"/>
              </w:rPr>
            </w:pPr>
            <w:r>
              <w:rPr>
                <w:bCs/>
                <w:lang w:val="sr-Latn-BA"/>
              </w:rPr>
              <w:t>5</w:t>
            </w:r>
            <w:r w:rsidR="00865CD3">
              <w:rPr>
                <w:bCs/>
                <w:lang w:val="ru-RU"/>
              </w:rPr>
              <w:t>.</w:t>
            </w:r>
            <w:r>
              <w:rPr>
                <w:bCs/>
                <w:lang w:val="sr-Latn-BA"/>
              </w:rPr>
              <w:t>525</w:t>
            </w:r>
            <w:r w:rsidR="00E36B7E" w:rsidRPr="00865CD3">
              <w:rPr>
                <w:bCs/>
                <w:lang w:val="ru-RU"/>
              </w:rPr>
              <w:t>.</w:t>
            </w:r>
            <w:r>
              <w:rPr>
                <w:bCs/>
                <w:lang w:val="sr-Latn-BA"/>
              </w:rPr>
              <w:t>8</w:t>
            </w:r>
            <w:r w:rsidR="00046C4B">
              <w:rPr>
                <w:bCs/>
                <w:lang w:val="sr-Latn-BA"/>
              </w:rPr>
              <w:t>00</w:t>
            </w:r>
          </w:p>
        </w:tc>
        <w:tc>
          <w:tcPr>
            <w:tcW w:w="2087" w:type="dxa"/>
          </w:tcPr>
          <w:p w:rsidR="00896DC2" w:rsidRPr="00046C4B" w:rsidRDefault="00F45745" w:rsidP="00C31575">
            <w:pPr>
              <w:jc w:val="right"/>
              <w:rPr>
                <w:lang w:val="sr-Latn-BA"/>
              </w:rPr>
            </w:pPr>
            <w:r>
              <w:rPr>
                <w:lang w:val="sr-Latn-BA"/>
              </w:rPr>
              <w:t>5</w:t>
            </w:r>
            <w:r w:rsidR="005178D8">
              <w:rPr>
                <w:lang w:val="sr-Latn-BA"/>
              </w:rPr>
              <w:t>.</w:t>
            </w:r>
            <w:r>
              <w:rPr>
                <w:lang w:val="sr-Latn-BA"/>
              </w:rPr>
              <w:t>240</w:t>
            </w:r>
            <w:r w:rsidR="00735BE8">
              <w:rPr>
                <w:lang w:val="sr-Latn-BA"/>
              </w:rPr>
              <w:t>.</w:t>
            </w:r>
            <w:r>
              <w:rPr>
                <w:lang w:val="sr-Latn-BA"/>
              </w:rPr>
              <w:t>000</w:t>
            </w:r>
          </w:p>
        </w:tc>
      </w:tr>
      <w:tr w:rsidR="00896DC2" w:rsidRPr="00F45745" w:rsidTr="00C31575">
        <w:tc>
          <w:tcPr>
            <w:tcW w:w="2086" w:type="dxa"/>
          </w:tcPr>
          <w:p w:rsidR="00896DC2" w:rsidRPr="00865CD3" w:rsidRDefault="00896DC2" w:rsidP="00C31575">
            <w:pPr>
              <w:jc w:val="both"/>
              <w:rPr>
                <w:lang w:val="ru-RU"/>
              </w:rPr>
            </w:pPr>
            <w:r w:rsidRPr="00865CD3">
              <w:rPr>
                <w:lang w:val="ru-RU"/>
              </w:rPr>
              <w:t>Непорески приходи</w:t>
            </w:r>
          </w:p>
        </w:tc>
        <w:tc>
          <w:tcPr>
            <w:tcW w:w="2087" w:type="dxa"/>
            <w:vAlign w:val="center"/>
          </w:tcPr>
          <w:p w:rsidR="00896DC2" w:rsidRPr="005178D8" w:rsidRDefault="00865CD3" w:rsidP="00C31575">
            <w:pPr>
              <w:jc w:val="right"/>
              <w:rPr>
                <w:color w:val="000000"/>
                <w:lang w:val="sr-Latn-BA"/>
              </w:rPr>
            </w:pPr>
            <w:r>
              <w:rPr>
                <w:bCs/>
                <w:lang w:val="sr-Latn-BA"/>
              </w:rPr>
              <w:t>3</w:t>
            </w:r>
            <w:r w:rsidR="00F45745">
              <w:rPr>
                <w:bCs/>
                <w:lang w:val="sr-Latn-BA"/>
              </w:rPr>
              <w:t>45.539</w:t>
            </w:r>
          </w:p>
        </w:tc>
        <w:tc>
          <w:tcPr>
            <w:tcW w:w="2087" w:type="dxa"/>
            <w:vAlign w:val="center"/>
          </w:tcPr>
          <w:p w:rsidR="00896DC2" w:rsidRPr="005178D8" w:rsidRDefault="00F45745" w:rsidP="00C31575">
            <w:pPr>
              <w:jc w:val="right"/>
              <w:rPr>
                <w:color w:val="000000"/>
                <w:lang w:val="sr-Latn-BA"/>
              </w:rPr>
            </w:pPr>
            <w:r>
              <w:rPr>
                <w:bCs/>
                <w:lang w:val="sr-Latn-BA"/>
              </w:rPr>
              <w:t>817</w:t>
            </w:r>
            <w:r w:rsidR="005178D8">
              <w:rPr>
                <w:bCs/>
                <w:lang w:val="sr-Latn-BA"/>
              </w:rPr>
              <w:t>.</w:t>
            </w:r>
            <w:r>
              <w:rPr>
                <w:bCs/>
                <w:lang w:val="sr-Latn-BA"/>
              </w:rPr>
              <w:t>310</w:t>
            </w:r>
          </w:p>
        </w:tc>
        <w:tc>
          <w:tcPr>
            <w:tcW w:w="2087" w:type="dxa"/>
          </w:tcPr>
          <w:p w:rsidR="00896DC2" w:rsidRPr="00046C4B" w:rsidRDefault="00F45745" w:rsidP="00C31575">
            <w:pPr>
              <w:jc w:val="right"/>
              <w:rPr>
                <w:lang w:val="sr-Latn-BA"/>
              </w:rPr>
            </w:pPr>
            <w:r>
              <w:rPr>
                <w:lang w:val="sr-Latn-BA"/>
              </w:rPr>
              <w:t>803</w:t>
            </w:r>
            <w:r w:rsidR="005178D8">
              <w:rPr>
                <w:lang w:val="sr-Latn-BA"/>
              </w:rPr>
              <w:t>.</w:t>
            </w:r>
            <w:r>
              <w:rPr>
                <w:lang w:val="sr-Latn-BA"/>
              </w:rPr>
              <w:t>000</w:t>
            </w:r>
          </w:p>
        </w:tc>
      </w:tr>
      <w:tr w:rsidR="00896DC2" w:rsidRPr="00F45745" w:rsidTr="00C31575">
        <w:tc>
          <w:tcPr>
            <w:tcW w:w="2086" w:type="dxa"/>
          </w:tcPr>
          <w:p w:rsidR="00896DC2" w:rsidRPr="00865CD3" w:rsidRDefault="00896DC2" w:rsidP="00C31575">
            <w:pPr>
              <w:jc w:val="both"/>
              <w:rPr>
                <w:lang w:val="ru-RU"/>
              </w:rPr>
            </w:pPr>
            <w:r w:rsidRPr="00865CD3">
              <w:rPr>
                <w:lang w:val="ru-RU"/>
              </w:rPr>
              <w:t>Укупно</w:t>
            </w:r>
          </w:p>
        </w:tc>
        <w:tc>
          <w:tcPr>
            <w:tcW w:w="2087" w:type="dxa"/>
          </w:tcPr>
          <w:p w:rsidR="00896DC2" w:rsidRPr="005178D8" w:rsidRDefault="00F45745" w:rsidP="00C31575">
            <w:pPr>
              <w:jc w:val="right"/>
              <w:rPr>
                <w:lang w:val="sr-Latn-BA"/>
              </w:rPr>
            </w:pPr>
            <w:r>
              <w:rPr>
                <w:lang w:val="sr-Latn-BA"/>
              </w:rPr>
              <w:t>5</w:t>
            </w:r>
            <w:r w:rsidR="005178D8" w:rsidRPr="00865CD3">
              <w:rPr>
                <w:lang w:val="ru-RU"/>
              </w:rPr>
              <w:t>.</w:t>
            </w:r>
            <w:r>
              <w:rPr>
                <w:lang w:val="sr-Latn-BA"/>
              </w:rPr>
              <w:t>645</w:t>
            </w:r>
            <w:r w:rsidR="009A1B29" w:rsidRPr="00865CD3">
              <w:rPr>
                <w:lang w:val="ru-RU"/>
              </w:rPr>
              <w:t>.</w:t>
            </w:r>
            <w:r>
              <w:rPr>
                <w:lang w:val="sr-Latn-BA"/>
              </w:rPr>
              <w:t>913</w:t>
            </w:r>
          </w:p>
        </w:tc>
        <w:tc>
          <w:tcPr>
            <w:tcW w:w="2087" w:type="dxa"/>
          </w:tcPr>
          <w:p w:rsidR="00896DC2" w:rsidRPr="00046C4B" w:rsidRDefault="00F45745" w:rsidP="00C31575">
            <w:pPr>
              <w:jc w:val="right"/>
              <w:rPr>
                <w:lang w:val="sr-Latn-BA"/>
              </w:rPr>
            </w:pPr>
            <w:r>
              <w:rPr>
                <w:lang w:val="sr-Latn-BA"/>
              </w:rPr>
              <w:t>6.343</w:t>
            </w:r>
            <w:r w:rsidR="00046C4B">
              <w:rPr>
                <w:lang w:val="sr-Latn-BA"/>
              </w:rPr>
              <w:t>.</w:t>
            </w:r>
            <w:r>
              <w:rPr>
                <w:lang w:val="sr-Latn-BA"/>
              </w:rPr>
              <w:t>110</w:t>
            </w:r>
          </w:p>
        </w:tc>
        <w:tc>
          <w:tcPr>
            <w:tcW w:w="2087" w:type="dxa"/>
          </w:tcPr>
          <w:p w:rsidR="00896DC2" w:rsidRPr="00046C4B" w:rsidRDefault="00F45745" w:rsidP="00C31575">
            <w:pPr>
              <w:jc w:val="right"/>
              <w:rPr>
                <w:lang w:val="sr-Latn-BA"/>
              </w:rPr>
            </w:pPr>
            <w:r>
              <w:rPr>
                <w:lang w:val="sr-Latn-BA"/>
              </w:rPr>
              <w:t>6</w:t>
            </w:r>
            <w:r w:rsidR="005178D8">
              <w:rPr>
                <w:lang w:val="sr-Latn-BA"/>
              </w:rPr>
              <w:t>.</w:t>
            </w:r>
            <w:r>
              <w:rPr>
                <w:lang w:val="sr-Latn-BA"/>
              </w:rPr>
              <w:t>043</w:t>
            </w:r>
            <w:r w:rsidR="00046C4B">
              <w:rPr>
                <w:lang w:val="sr-Latn-BA"/>
              </w:rPr>
              <w:t>.000</w:t>
            </w:r>
          </w:p>
        </w:tc>
      </w:tr>
    </w:tbl>
    <w:p w:rsidR="00AF13C8" w:rsidRPr="00865CD3" w:rsidRDefault="00AF13C8" w:rsidP="00612C54">
      <w:pPr>
        <w:ind w:firstLine="720"/>
        <w:jc w:val="both"/>
        <w:rPr>
          <w:lang w:val="ru-RU"/>
        </w:rPr>
      </w:pPr>
    </w:p>
    <w:p w:rsidR="00DC6918" w:rsidRPr="00865CD3" w:rsidRDefault="00DC6918" w:rsidP="00612C54">
      <w:pPr>
        <w:ind w:firstLine="720"/>
        <w:jc w:val="both"/>
        <w:rPr>
          <w:lang w:val="ru-RU"/>
        </w:rPr>
      </w:pPr>
    </w:p>
    <w:p w:rsidR="00720A96" w:rsidRDefault="00667442">
      <w:pPr>
        <w:jc w:val="both"/>
        <w:rPr>
          <w:lang w:val="hr-HR"/>
        </w:rPr>
      </w:pPr>
      <w:r>
        <w:rPr>
          <w:lang w:val="hr-HR"/>
        </w:rPr>
        <w:tab/>
      </w:r>
      <w:r w:rsidR="00720A96">
        <w:rPr>
          <w:lang w:val="hr-HR"/>
        </w:rPr>
        <w:t>Ова пројекција је заснована на основу:</w:t>
      </w:r>
    </w:p>
    <w:p w:rsidR="00B1696B" w:rsidRDefault="00B1696B" w:rsidP="00B1696B">
      <w:pPr>
        <w:jc w:val="both"/>
        <w:rPr>
          <w:lang w:val="hr-HR"/>
        </w:rPr>
      </w:pPr>
      <w:r>
        <w:rPr>
          <w:lang w:val="hr-HR"/>
        </w:rPr>
        <w:tab/>
      </w:r>
      <w:r w:rsidR="00720A96">
        <w:rPr>
          <w:lang w:val="hr-HR"/>
        </w:rPr>
        <w:t>- остварења прихода у претходним годинама</w:t>
      </w:r>
      <w:r w:rsidR="00E956A7" w:rsidRPr="00EE03B9">
        <w:rPr>
          <w:lang w:val="ru-RU"/>
        </w:rPr>
        <w:t>,</w:t>
      </w:r>
      <w:r w:rsidR="00720A96">
        <w:rPr>
          <w:lang w:val="hr-HR"/>
        </w:rPr>
        <w:tab/>
      </w:r>
      <w:r w:rsidR="00720A96">
        <w:rPr>
          <w:lang w:val="hr-HR"/>
        </w:rPr>
        <w:tab/>
      </w:r>
    </w:p>
    <w:p w:rsidR="00720A96" w:rsidRDefault="00667442" w:rsidP="00B1696B">
      <w:pPr>
        <w:ind w:firstLine="720"/>
        <w:jc w:val="both"/>
        <w:rPr>
          <w:lang w:val="hr-HR"/>
        </w:rPr>
      </w:pPr>
      <w:r>
        <w:rPr>
          <w:lang w:val="hr-HR"/>
        </w:rPr>
        <w:lastRenderedPageBreak/>
        <w:t>-</w:t>
      </w:r>
      <w:r w:rsidR="00720A96">
        <w:rPr>
          <w:lang w:val="hr-HR"/>
        </w:rPr>
        <w:t>постојање латентних резерви, нарочито кад су у питању непорески приходи.</w:t>
      </w:r>
    </w:p>
    <w:p w:rsidR="00720A96" w:rsidRDefault="00667442">
      <w:pPr>
        <w:jc w:val="both"/>
        <w:rPr>
          <w:lang w:val="hr-HR"/>
        </w:rPr>
      </w:pPr>
      <w:r>
        <w:rPr>
          <w:lang w:val="hr-HR"/>
        </w:rPr>
        <w:tab/>
      </w:r>
      <w:r w:rsidR="00720A96">
        <w:rPr>
          <w:lang w:val="hr-HR"/>
        </w:rPr>
        <w:t>За остварење оваквог буџета који је заснован на процјени реално остварених прихода потребно је побољшати убирање прихода, нарочито непореских.</w:t>
      </w:r>
    </w:p>
    <w:p w:rsidR="00720A96" w:rsidRDefault="00667442">
      <w:pPr>
        <w:jc w:val="both"/>
        <w:rPr>
          <w:lang w:val="sr-Cyrl-BA"/>
        </w:rPr>
      </w:pPr>
      <w:r>
        <w:rPr>
          <w:lang w:val="hr-HR"/>
        </w:rPr>
        <w:tab/>
      </w:r>
      <w:r w:rsidR="00720A96">
        <w:rPr>
          <w:lang w:val="hr-HR"/>
        </w:rPr>
        <w:t xml:space="preserve">Ефикаснијим радом релевантних одјељења </w:t>
      </w:r>
      <w:r w:rsidR="00AE48F3">
        <w:rPr>
          <w:lang w:val="hr-HR"/>
        </w:rPr>
        <w:t xml:space="preserve">Општинске </w:t>
      </w:r>
      <w:r w:rsidR="00AE48F3" w:rsidRPr="00EE03B9">
        <w:rPr>
          <w:lang w:val="ru-RU"/>
        </w:rPr>
        <w:t>управе</w:t>
      </w:r>
      <w:r w:rsidR="00720A96">
        <w:rPr>
          <w:lang w:val="hr-HR"/>
        </w:rPr>
        <w:t xml:space="preserve"> ови приходи треба да се остваре у пројектованом износу.</w:t>
      </w:r>
    </w:p>
    <w:p w:rsidR="00720A96" w:rsidRDefault="00720A96" w:rsidP="00667442">
      <w:pPr>
        <w:ind w:firstLine="720"/>
        <w:jc w:val="both"/>
        <w:rPr>
          <w:lang w:val="hr-HR"/>
        </w:rPr>
      </w:pPr>
      <w:r>
        <w:rPr>
          <w:lang w:val="hr-HR"/>
        </w:rPr>
        <w:t xml:space="preserve">Сви корисници ће морати да учине додатне напоре да своје захтјеве уклопе у расположиви дио буџета </w:t>
      </w:r>
      <w:r>
        <w:rPr>
          <w:lang w:val="sr-Cyrl-CS"/>
        </w:rPr>
        <w:t>како би се створили услови</w:t>
      </w:r>
      <w:r>
        <w:rPr>
          <w:lang w:val="hr-HR"/>
        </w:rPr>
        <w:t xml:space="preserve"> за поштовање законског основа за дозначавање средстава и већа транспарентност између буџета и пословања свих корисника.</w:t>
      </w:r>
    </w:p>
    <w:p w:rsidR="00720A96" w:rsidRDefault="00720A96">
      <w:pPr>
        <w:jc w:val="both"/>
        <w:rPr>
          <w:lang w:val="hr-HR"/>
        </w:rPr>
      </w:pPr>
      <w:r>
        <w:rPr>
          <w:lang w:val="hr-HR"/>
        </w:rPr>
        <w:t>Пројектованим буџетом на бази реално остварених прихода избјегл</w:t>
      </w:r>
      <w:r>
        <w:rPr>
          <w:lang w:val="sr-Cyrl-CS"/>
        </w:rPr>
        <w:t>и</w:t>
      </w:r>
      <w:r>
        <w:rPr>
          <w:lang w:val="hr-HR"/>
        </w:rPr>
        <w:t xml:space="preserve"> би се  многи проблеми који произилазе из нереално планираног буџета.</w:t>
      </w:r>
    </w:p>
    <w:p w:rsidR="00720A96" w:rsidRPr="00B64D86" w:rsidRDefault="00720A96">
      <w:pPr>
        <w:jc w:val="both"/>
        <w:rPr>
          <w:lang w:val="ru-RU"/>
        </w:rPr>
      </w:pPr>
    </w:p>
    <w:p w:rsidR="00B1696B" w:rsidRPr="00B64D86" w:rsidRDefault="00B1696B">
      <w:pPr>
        <w:jc w:val="both"/>
        <w:rPr>
          <w:lang w:val="ru-RU"/>
        </w:rPr>
      </w:pPr>
    </w:p>
    <w:p w:rsidR="00B1696B" w:rsidRPr="00B64D86" w:rsidRDefault="00B1696B">
      <w:pPr>
        <w:jc w:val="both"/>
        <w:rPr>
          <w:lang w:val="ru-RU"/>
        </w:rPr>
      </w:pPr>
    </w:p>
    <w:p w:rsidR="00B1696B" w:rsidRPr="00B64D86" w:rsidRDefault="00B1696B">
      <w:pPr>
        <w:jc w:val="both"/>
        <w:rPr>
          <w:lang w:val="ru-RU"/>
        </w:rPr>
      </w:pPr>
    </w:p>
    <w:p w:rsidR="00B1696B" w:rsidRPr="00B64D86" w:rsidRDefault="00B1696B">
      <w:pPr>
        <w:jc w:val="both"/>
        <w:rPr>
          <w:lang w:val="ru-RU"/>
        </w:rPr>
      </w:pPr>
    </w:p>
    <w:p w:rsidR="00720A96" w:rsidRDefault="00720A96">
      <w:pPr>
        <w:jc w:val="center"/>
        <w:rPr>
          <w:b/>
          <w:lang w:val="hr-HR"/>
        </w:rPr>
      </w:pPr>
      <w:r>
        <w:rPr>
          <w:b/>
          <w:lang w:val="sr-Latn-CS"/>
        </w:rPr>
        <w:t>I</w:t>
      </w:r>
      <w:r>
        <w:rPr>
          <w:b/>
          <w:lang w:val="hr-HR"/>
        </w:rPr>
        <w:t>V</w:t>
      </w:r>
    </w:p>
    <w:p w:rsidR="00720A96" w:rsidRDefault="00720A96">
      <w:pPr>
        <w:jc w:val="center"/>
        <w:rPr>
          <w:b/>
          <w:lang w:val="hr-HR"/>
        </w:rPr>
      </w:pPr>
    </w:p>
    <w:p w:rsidR="00720A96" w:rsidRDefault="00720A96" w:rsidP="000C4EBF">
      <w:pPr>
        <w:jc w:val="center"/>
        <w:rPr>
          <w:b/>
          <w:lang w:val="sr-Cyrl-BA"/>
        </w:rPr>
      </w:pPr>
      <w:r>
        <w:rPr>
          <w:b/>
          <w:lang w:val="sr-Cyrl-BA"/>
        </w:rPr>
        <w:t xml:space="preserve">Оквирни износ </w:t>
      </w:r>
      <w:r>
        <w:rPr>
          <w:b/>
          <w:lang w:val="sr-Cyrl-CS"/>
        </w:rPr>
        <w:t>издатака</w:t>
      </w:r>
      <w:r>
        <w:rPr>
          <w:b/>
          <w:lang w:val="sr-Cyrl-BA"/>
        </w:rPr>
        <w:t xml:space="preserve"> буџетским </w:t>
      </w:r>
      <w:r w:rsidR="00A4572A">
        <w:rPr>
          <w:b/>
          <w:lang w:val="sr-Cyrl-BA"/>
        </w:rPr>
        <w:t>корисницима у 20</w:t>
      </w:r>
      <w:r w:rsidR="00013414">
        <w:rPr>
          <w:b/>
          <w:lang w:val="sr-Latn-BA"/>
        </w:rPr>
        <w:t>23</w:t>
      </w:r>
      <w:r>
        <w:rPr>
          <w:b/>
          <w:lang w:val="sr-Cyrl-BA"/>
        </w:rPr>
        <w:t>. години</w:t>
      </w:r>
    </w:p>
    <w:p w:rsidR="00720A96" w:rsidRDefault="00720A96" w:rsidP="000C4EBF">
      <w:pPr>
        <w:jc w:val="center"/>
        <w:rPr>
          <w:b/>
          <w:lang w:val="sr-Cyrl-BA"/>
        </w:rPr>
      </w:pPr>
    </w:p>
    <w:p w:rsidR="00720A96" w:rsidRDefault="00720A96">
      <w:pPr>
        <w:jc w:val="both"/>
        <w:rPr>
          <w:lang w:val="sr-Cyrl-BA"/>
        </w:rPr>
      </w:pPr>
      <w:r>
        <w:rPr>
          <w:b/>
          <w:lang w:val="sr-Cyrl-BA"/>
        </w:rPr>
        <w:tab/>
      </w:r>
      <w:r>
        <w:rPr>
          <w:b/>
          <w:lang w:val="sr-Cyrl-BA"/>
        </w:rPr>
        <w:tab/>
      </w:r>
      <w:r w:rsidR="004D1349">
        <w:rPr>
          <w:lang w:val="sr-Cyrl-BA"/>
        </w:rPr>
        <w:t>Пандемија вируса корона</w:t>
      </w:r>
      <w:r w:rsidR="00013414">
        <w:rPr>
          <w:lang w:val="sr-Latn-BA"/>
        </w:rPr>
        <w:t xml:space="preserve"> </w:t>
      </w:r>
      <w:r w:rsidR="00013414">
        <w:rPr>
          <w:lang w:val="sr-Cyrl-BA"/>
        </w:rPr>
        <w:t>и</w:t>
      </w:r>
      <w:r w:rsidR="00C0340A">
        <w:rPr>
          <w:lang w:val="sr-Cyrl-BA"/>
        </w:rPr>
        <w:t xml:space="preserve"> сукоби у Украјни</w:t>
      </w:r>
      <w:r w:rsidR="004D1349">
        <w:rPr>
          <w:lang w:val="sr-Cyrl-BA"/>
        </w:rPr>
        <w:t xml:space="preserve"> према виђењу Међународног монетарног фонда изазива највећи економски пад у последњих сто година.</w:t>
      </w:r>
      <w:r>
        <w:rPr>
          <w:lang w:val="sr-Cyrl-BA"/>
        </w:rPr>
        <w:t>Из разлога ограничености средстава према Документу оквирног буџета за 20</w:t>
      </w:r>
      <w:r w:rsidR="00C0340A">
        <w:rPr>
          <w:lang w:val="sr-Latn-BA"/>
        </w:rPr>
        <w:t>2</w:t>
      </w:r>
      <w:r w:rsidR="00C0340A">
        <w:rPr>
          <w:lang w:val="sr-Cyrl-BA"/>
        </w:rPr>
        <w:t>3</w:t>
      </w:r>
      <w:r w:rsidR="00B1696B">
        <w:rPr>
          <w:lang w:val="sr-Cyrl-BA"/>
        </w:rPr>
        <w:t>.-20</w:t>
      </w:r>
      <w:r w:rsidR="00C0340A">
        <w:rPr>
          <w:lang w:val="sr-Latn-BA"/>
        </w:rPr>
        <w:t>2</w:t>
      </w:r>
      <w:r w:rsidR="00C0340A">
        <w:rPr>
          <w:lang w:val="sr-Cyrl-BA"/>
        </w:rPr>
        <w:t>5</w:t>
      </w:r>
      <w:r>
        <w:rPr>
          <w:lang w:val="sr-Cyrl-BA"/>
        </w:rPr>
        <w:t>. годи</w:t>
      </w:r>
      <w:r w:rsidR="00AA01BF">
        <w:rPr>
          <w:lang w:val="sr-Cyrl-BA"/>
        </w:rPr>
        <w:t xml:space="preserve">ну, све веће потрошње и </w:t>
      </w:r>
      <w:r w:rsidR="00110DE0">
        <w:rPr>
          <w:lang w:val="sr-Cyrl-BA"/>
        </w:rPr>
        <w:t>дефицита</w:t>
      </w:r>
      <w:r w:rsidR="00C0340A">
        <w:rPr>
          <w:lang w:val="sr-Cyrl-BA"/>
        </w:rPr>
        <w:t xml:space="preserve"> </w:t>
      </w:r>
      <w:r>
        <w:rPr>
          <w:lang w:val="sr-Cyrl-BA"/>
        </w:rPr>
        <w:t>који ће се пренијети из ове године и већим захтјевима према буџету, буџетски корисници морају рачунати на максималну рационалност у својим захтјевима.</w:t>
      </w:r>
      <w:r w:rsidR="00AA01BF">
        <w:rPr>
          <w:lang w:val="sr-Cyrl-BA"/>
        </w:rPr>
        <w:t xml:space="preserve"> На бази економских претпоставки при пројекцији буџетских средстава предлаже се да при планирању буџетског оквира потрошње,буџетски корисници п</w:t>
      </w:r>
      <w:r w:rsidR="00A4572A">
        <w:rPr>
          <w:lang w:val="sr-Cyrl-BA"/>
        </w:rPr>
        <w:t>ланирају средства/издатке у 2</w:t>
      </w:r>
      <w:r w:rsidR="005D1999">
        <w:rPr>
          <w:lang w:val="sr-Latn-BA"/>
        </w:rPr>
        <w:t>023</w:t>
      </w:r>
      <w:r w:rsidR="00AA01BF">
        <w:rPr>
          <w:lang w:val="sr-Cyrl-BA"/>
        </w:rPr>
        <w:t xml:space="preserve">. </w:t>
      </w:r>
      <w:r w:rsidR="001F1940">
        <w:rPr>
          <w:lang w:val="sr-Cyrl-BA"/>
        </w:rPr>
        <w:t>г</w:t>
      </w:r>
      <w:r w:rsidR="00B1696B">
        <w:rPr>
          <w:lang w:val="sr-Cyrl-BA"/>
        </w:rPr>
        <w:t>одини</w:t>
      </w:r>
      <w:r w:rsidR="00C31FE9">
        <w:rPr>
          <w:lang w:val="sr-Cyrl-BA"/>
        </w:rPr>
        <w:t xml:space="preserve"> </w:t>
      </w:r>
      <w:r w:rsidR="00C31FE9">
        <w:rPr>
          <w:lang w:val="sr-Latn-BA"/>
        </w:rPr>
        <w:t>без значајних увећања у односу на прошлу годину.</w:t>
      </w:r>
      <w:r w:rsidR="001F1940">
        <w:rPr>
          <w:lang w:val="sr-Latn-BA"/>
        </w:rPr>
        <w:t xml:space="preserve"> </w:t>
      </w:r>
      <w:r w:rsidR="00B1696B">
        <w:rPr>
          <w:lang w:val="sr-Cyrl-BA"/>
        </w:rPr>
        <w:t xml:space="preserve"> </w:t>
      </w:r>
      <w:r>
        <w:rPr>
          <w:lang w:val="sr-Cyrl-BA"/>
        </w:rPr>
        <w:t>Да би се планирао реалан Буџет у коме се налазе оправдани и приоритетни захтјеви корисника, потребно је да сви буџетски корисници предузму мјере на:</w:t>
      </w:r>
    </w:p>
    <w:p w:rsidR="00720A96" w:rsidRDefault="00720A96">
      <w:pPr>
        <w:jc w:val="both"/>
        <w:rPr>
          <w:lang w:val="sr-Cyrl-BA"/>
        </w:rPr>
      </w:pPr>
      <w:r>
        <w:rPr>
          <w:lang w:val="sr-Cyrl-BA"/>
        </w:rPr>
        <w:tab/>
      </w:r>
      <w:r>
        <w:rPr>
          <w:lang w:val="sr-Cyrl-BA"/>
        </w:rPr>
        <w:tab/>
        <w:t xml:space="preserve">- смањењу своје потрошње, </w:t>
      </w:r>
    </w:p>
    <w:p w:rsidR="00720A96" w:rsidRDefault="00720A96">
      <w:pPr>
        <w:jc w:val="both"/>
        <w:rPr>
          <w:lang w:val="sr-Cyrl-BA"/>
        </w:rPr>
      </w:pPr>
      <w:r>
        <w:rPr>
          <w:lang w:val="sr-Cyrl-BA"/>
        </w:rPr>
        <w:tab/>
      </w:r>
      <w:r>
        <w:rPr>
          <w:lang w:val="sr-Cyrl-BA"/>
        </w:rPr>
        <w:tab/>
        <w:t>- успјешнијем одређивању приоритета,</w:t>
      </w:r>
    </w:p>
    <w:p w:rsidR="00720A96" w:rsidRDefault="00720A96">
      <w:pPr>
        <w:jc w:val="both"/>
        <w:rPr>
          <w:lang w:val="sr-Cyrl-BA"/>
        </w:rPr>
      </w:pPr>
      <w:r>
        <w:rPr>
          <w:lang w:val="sr-Cyrl-CS"/>
        </w:rPr>
        <w:tab/>
      </w:r>
      <w:r>
        <w:rPr>
          <w:lang w:val="sr-Cyrl-CS"/>
        </w:rPr>
        <w:tab/>
        <w:t xml:space="preserve">- </w:t>
      </w:r>
      <w:r>
        <w:rPr>
          <w:lang w:val="sr-Cyrl-BA"/>
        </w:rPr>
        <w:t>ефикаснијем коришћењу расположивих ресурса.</w:t>
      </w:r>
    </w:p>
    <w:p w:rsidR="00720A96" w:rsidRDefault="00720A96">
      <w:pPr>
        <w:jc w:val="both"/>
        <w:rPr>
          <w:lang w:val="sr-Cyrl-BA"/>
        </w:rPr>
      </w:pPr>
    </w:p>
    <w:p w:rsidR="00720A96" w:rsidRDefault="00720A96">
      <w:pPr>
        <w:jc w:val="both"/>
        <w:rPr>
          <w:lang w:val="sr-Cyrl-CS"/>
        </w:rPr>
      </w:pPr>
      <w:r>
        <w:rPr>
          <w:lang w:val="sr-Cyrl-BA"/>
        </w:rPr>
        <w:t xml:space="preserve">                      </w:t>
      </w:r>
      <w:r>
        <w:rPr>
          <w:lang w:val="sr-Cyrl-CS"/>
        </w:rPr>
        <w:t>Буџетски захтјев се састоји из три дијела:</w:t>
      </w:r>
    </w:p>
    <w:p w:rsidR="00720A96" w:rsidRDefault="00720A96">
      <w:pPr>
        <w:jc w:val="both"/>
        <w:rPr>
          <w:lang w:val="sr-Cyrl-BA"/>
        </w:rPr>
      </w:pPr>
    </w:p>
    <w:p w:rsidR="00720A96" w:rsidRDefault="00720A96" w:rsidP="000C4EBF">
      <w:pPr>
        <w:numPr>
          <w:ilvl w:val="0"/>
          <w:numId w:val="4"/>
        </w:numPr>
        <w:jc w:val="both"/>
        <w:rPr>
          <w:lang w:val="sr-Cyrl-CS"/>
        </w:rPr>
      </w:pPr>
      <w:r>
        <w:rPr>
          <w:lang w:val="sr-Cyrl-CS"/>
        </w:rPr>
        <w:t>захтјева за текуће издатке са подацима о постојећим активностима и услугама буџетског корисника.</w:t>
      </w:r>
    </w:p>
    <w:p w:rsidR="00720A96" w:rsidRDefault="000C4EBF" w:rsidP="000C4EBF">
      <w:pPr>
        <w:numPr>
          <w:ilvl w:val="0"/>
          <w:numId w:val="4"/>
        </w:numPr>
        <w:jc w:val="both"/>
        <w:rPr>
          <w:lang w:val="sr-Cyrl-CS"/>
        </w:rPr>
      </w:pPr>
      <w:r>
        <w:rPr>
          <w:lang w:val="sr-Cyrl-CS"/>
        </w:rPr>
        <w:t>з</w:t>
      </w:r>
      <w:r w:rsidR="00720A96">
        <w:rPr>
          <w:lang w:val="sr-Cyrl-CS"/>
        </w:rPr>
        <w:t>ахтјева за додатна средства за текуће активности чије се финансирање не може ускладити са ограничењем садржаним у упуству, са приједлогом приоритета које треба размотрити у поступку доношења буџета за наредну фискалну годину.</w:t>
      </w:r>
    </w:p>
    <w:p w:rsidR="00720A96" w:rsidRPr="00F971BC" w:rsidRDefault="000C4EBF" w:rsidP="000C4EBF">
      <w:pPr>
        <w:numPr>
          <w:ilvl w:val="0"/>
          <w:numId w:val="4"/>
        </w:numPr>
        <w:jc w:val="both"/>
        <w:rPr>
          <w:lang w:val="sr-Cyrl-CS"/>
        </w:rPr>
      </w:pPr>
      <w:r>
        <w:rPr>
          <w:lang w:val="sr-Cyrl-CS"/>
        </w:rPr>
        <w:t>з</w:t>
      </w:r>
      <w:r w:rsidR="00720A96">
        <w:rPr>
          <w:lang w:val="sr-Cyrl-CS"/>
        </w:rPr>
        <w:t xml:space="preserve">ахтјев за набавку основних средстава и опреме, додатним средствима за капиталне пројекте започете у  претходним фискалним годинама и за нове капиталне пројекте, као </w:t>
      </w:r>
      <w:r w:rsidR="00720A96">
        <w:rPr>
          <w:lang w:val="sr-Cyrl-CS"/>
        </w:rPr>
        <w:lastRenderedPageBreak/>
        <w:t xml:space="preserve">приоритете које треба размотрити у поступку доношења буџета за наредну фискалну годину.  </w:t>
      </w:r>
    </w:p>
    <w:p w:rsidR="00F971BC" w:rsidRDefault="00F971BC" w:rsidP="00F971BC">
      <w:pPr>
        <w:ind w:left="720"/>
        <w:jc w:val="both"/>
        <w:rPr>
          <w:lang w:val="sr-Cyrl-CS"/>
        </w:rPr>
      </w:pPr>
    </w:p>
    <w:p w:rsidR="00720A96" w:rsidRDefault="00F971BC">
      <w:pPr>
        <w:jc w:val="both"/>
        <w:rPr>
          <w:lang w:val="sr-Cyrl-CS"/>
        </w:rPr>
      </w:pPr>
      <w:r>
        <w:rPr>
          <w:lang w:val="sr-Cyrl-CS"/>
        </w:rPr>
        <w:t xml:space="preserve">           </w:t>
      </w:r>
      <w:r w:rsidR="00720A96">
        <w:rPr>
          <w:lang w:val="sr-Cyrl-CS"/>
        </w:rPr>
        <w:t xml:space="preserve"> </w:t>
      </w:r>
      <w:r w:rsidR="00720A96">
        <w:rPr>
          <w:b/>
          <w:bCs/>
          <w:lang w:val="sr-Cyrl-CS"/>
        </w:rPr>
        <w:t xml:space="preserve">Буџетски захтјеви  се састоје из финансијског захтјева и писменог образложења, </w:t>
      </w:r>
      <w:r w:rsidR="008C2A35">
        <w:rPr>
          <w:lang w:val="sr-Cyrl-CS"/>
        </w:rPr>
        <w:t>а све у складу са чл.25</w:t>
      </w:r>
      <w:r w:rsidR="00720A96">
        <w:rPr>
          <w:lang w:val="sr-Cyrl-CS"/>
        </w:rPr>
        <w:t xml:space="preserve"> Закона о буџетском систему РС.</w:t>
      </w:r>
    </w:p>
    <w:p w:rsidR="00720A96" w:rsidRDefault="000C4EBF">
      <w:pPr>
        <w:jc w:val="both"/>
        <w:rPr>
          <w:lang w:val="sr-Cyrl-BA"/>
        </w:rPr>
      </w:pPr>
      <w:r>
        <w:rPr>
          <w:lang w:val="sr-Cyrl-BA"/>
        </w:rPr>
        <w:tab/>
      </w:r>
      <w:r w:rsidR="00720A96">
        <w:rPr>
          <w:lang w:val="sr-Cyrl-BA"/>
        </w:rPr>
        <w:t xml:space="preserve">Сви буџетски захтјеви треба да су документовани аналитични и образложени. Треба да садрже податке: о </w:t>
      </w:r>
      <w:r w:rsidR="00720A96">
        <w:rPr>
          <w:b/>
          <w:bCs/>
          <w:lang w:val="sr-Cyrl-BA"/>
        </w:rPr>
        <w:t>броју</w:t>
      </w:r>
      <w:r w:rsidR="00720A96">
        <w:rPr>
          <w:lang w:val="sr-Cyrl-BA"/>
        </w:rPr>
        <w:t xml:space="preserve"> </w:t>
      </w:r>
      <w:r w:rsidR="00720A96">
        <w:rPr>
          <w:b/>
          <w:bCs/>
          <w:lang w:val="sr-Cyrl-BA"/>
        </w:rPr>
        <w:t>запослених, стручној спреми запослених, врстама материјалних трошкова, о инвестиционим активностима</w:t>
      </w:r>
      <w:r w:rsidR="00720A96">
        <w:rPr>
          <w:lang w:val="sr-Cyrl-BA"/>
        </w:rPr>
        <w:t xml:space="preserve"> и друге релевантне податке.</w:t>
      </w:r>
    </w:p>
    <w:p w:rsidR="00720A96" w:rsidRPr="008D5A92" w:rsidRDefault="000C4EBF">
      <w:pPr>
        <w:jc w:val="both"/>
        <w:rPr>
          <w:lang w:val="sr-Cyrl-BA"/>
        </w:rPr>
      </w:pPr>
      <w:r>
        <w:rPr>
          <w:lang w:val="sr-Cyrl-BA"/>
        </w:rPr>
        <w:tab/>
      </w:r>
      <w:r w:rsidR="00720A96">
        <w:rPr>
          <w:lang w:val="sr-Cyrl-BA"/>
        </w:rPr>
        <w:t>Сви приходи корисника треба да су приказани по законом утврђеним изворима прихода, а расходи по врстама садржаним у контном плану за кориснике буџета.</w:t>
      </w:r>
    </w:p>
    <w:p w:rsidR="00062F28" w:rsidRPr="00062F28" w:rsidRDefault="00062F28">
      <w:pPr>
        <w:jc w:val="both"/>
        <w:rPr>
          <w:lang w:val="sr-Latn-BA"/>
        </w:rPr>
      </w:pPr>
    </w:p>
    <w:p w:rsidR="00720A96" w:rsidRDefault="00720A96">
      <w:pPr>
        <w:jc w:val="both"/>
        <w:rPr>
          <w:b/>
          <w:bCs/>
          <w:lang w:val="sr-Latn-CS"/>
        </w:rPr>
      </w:pPr>
      <w:r>
        <w:rPr>
          <w:lang w:val="sr-Cyrl-BA"/>
        </w:rPr>
        <w:t xml:space="preserve">                                                        </w:t>
      </w:r>
      <w:r>
        <w:rPr>
          <w:b/>
          <w:bCs/>
          <w:lang w:val="sr-Cyrl-BA"/>
        </w:rPr>
        <w:t xml:space="preserve"> </w:t>
      </w:r>
      <w:r>
        <w:rPr>
          <w:b/>
          <w:bCs/>
          <w:lang w:val="sr-Latn-CS"/>
        </w:rPr>
        <w:t>V</w:t>
      </w:r>
    </w:p>
    <w:p w:rsidR="00720A96" w:rsidRPr="00B64D86" w:rsidRDefault="00720A96">
      <w:pPr>
        <w:jc w:val="both"/>
        <w:rPr>
          <w:lang w:val="ru-RU"/>
        </w:rPr>
      </w:pPr>
    </w:p>
    <w:p w:rsidR="00720A96" w:rsidRDefault="00720A96">
      <w:pPr>
        <w:jc w:val="both"/>
        <w:rPr>
          <w:b/>
          <w:lang w:val="sr-Cyrl-BA"/>
        </w:rPr>
      </w:pPr>
      <w:r>
        <w:rPr>
          <w:lang w:val="sr-Cyrl-BA"/>
        </w:rPr>
        <w:tab/>
      </w:r>
      <w:r>
        <w:rPr>
          <w:b/>
          <w:lang w:val="sr-Cyrl-BA"/>
        </w:rPr>
        <w:tab/>
        <w:t>Поступак и динамика припреме буџета општине</w:t>
      </w:r>
    </w:p>
    <w:p w:rsidR="00720A96" w:rsidRDefault="00720A96">
      <w:pPr>
        <w:jc w:val="both"/>
        <w:rPr>
          <w:b/>
          <w:lang w:val="sr-Cyrl-BA"/>
        </w:rPr>
      </w:pPr>
    </w:p>
    <w:p w:rsidR="00720A96" w:rsidRDefault="00720A96">
      <w:pPr>
        <w:jc w:val="both"/>
        <w:rPr>
          <w:lang w:val="sr-Cyrl-BA"/>
        </w:rPr>
      </w:pPr>
      <w:r>
        <w:rPr>
          <w:lang w:val="sr-Cyrl-BA"/>
        </w:rPr>
        <w:tab/>
      </w:r>
      <w:r>
        <w:rPr>
          <w:lang w:val="sr-Cyrl-BA"/>
        </w:rPr>
        <w:tab/>
        <w:t>Припрема и доношењ</w:t>
      </w:r>
      <w:r w:rsidR="006B63B0">
        <w:rPr>
          <w:lang w:val="sr-Cyrl-BA"/>
        </w:rPr>
        <w:t>е буџета регулисано је чланом 2</w:t>
      </w:r>
      <w:r w:rsidR="006B63B0">
        <w:rPr>
          <w:lang w:val="sr-Latn-BA"/>
        </w:rPr>
        <w:t>8</w:t>
      </w:r>
      <w:r>
        <w:rPr>
          <w:lang w:val="sr-Cyrl-BA"/>
        </w:rPr>
        <w:t>. Закона о буџетско</w:t>
      </w:r>
      <w:r w:rsidR="008C2A35">
        <w:rPr>
          <w:lang w:val="sr-Cyrl-BA"/>
        </w:rPr>
        <w:t xml:space="preserve">м систему РС – </w:t>
      </w:r>
      <w:r>
        <w:rPr>
          <w:lang w:val="sr-Cyrl-BA"/>
        </w:rPr>
        <w:t>„Службен</w:t>
      </w:r>
      <w:r w:rsidR="008C2A35">
        <w:rPr>
          <w:lang w:val="sr-Cyrl-BA"/>
        </w:rPr>
        <w:t>и гласник РС“, број: 121/12.</w:t>
      </w:r>
      <w:r>
        <w:rPr>
          <w:lang w:val="sr-Cyrl-BA"/>
        </w:rPr>
        <w:t xml:space="preserve"> Календар буџета је:</w:t>
      </w:r>
    </w:p>
    <w:p w:rsidR="008C2A35" w:rsidRDefault="008C2A35">
      <w:pPr>
        <w:jc w:val="both"/>
        <w:rPr>
          <w:lang w:val="sr-Cyrl-BA"/>
        </w:rPr>
      </w:pPr>
    </w:p>
    <w:p w:rsidR="00720A96" w:rsidRDefault="00720A96" w:rsidP="008C2A35">
      <w:pPr>
        <w:ind w:firstLine="720"/>
        <w:jc w:val="both"/>
        <w:rPr>
          <w:lang w:val="sr-Cyrl-BA"/>
        </w:rPr>
      </w:pPr>
      <w:r>
        <w:rPr>
          <w:lang w:val="sr-Cyrl-CS"/>
        </w:rPr>
        <w:t>-</w:t>
      </w:r>
      <w:r w:rsidR="008C2A35">
        <w:rPr>
          <w:lang w:val="sr-Cyrl-BA"/>
        </w:rPr>
        <w:t xml:space="preserve">до </w:t>
      </w:r>
      <w:r w:rsidR="0060654F">
        <w:rPr>
          <w:lang w:val="sr-Latn-CS"/>
        </w:rPr>
        <w:t>15</w:t>
      </w:r>
      <w:r>
        <w:rPr>
          <w:lang w:val="sr-Cyrl-BA"/>
        </w:rPr>
        <w:t xml:space="preserve">.септембра сви корисници морају доставити </w:t>
      </w:r>
      <w:r>
        <w:rPr>
          <w:lang w:val="sr-Cyrl-CS"/>
        </w:rPr>
        <w:t>своје</w:t>
      </w:r>
      <w:r>
        <w:rPr>
          <w:lang w:val="sr-Cyrl-BA"/>
        </w:rPr>
        <w:t xml:space="preserve"> документоване захтјеве према буџету.</w:t>
      </w:r>
    </w:p>
    <w:p w:rsidR="00720A96" w:rsidRDefault="008C2A35" w:rsidP="008C2A35">
      <w:pPr>
        <w:ind w:firstLine="720"/>
        <w:jc w:val="both"/>
        <w:rPr>
          <w:lang w:val="sr-Cyrl-BA"/>
        </w:rPr>
      </w:pPr>
      <w:r>
        <w:rPr>
          <w:lang w:val="sr-Cyrl-BA"/>
        </w:rPr>
        <w:t>-</w:t>
      </w:r>
      <w:r w:rsidR="00720A96">
        <w:rPr>
          <w:lang w:val="sr-Cyrl-BA"/>
        </w:rPr>
        <w:t>до 15. октобра Одјељење за финансије израђује Нацрт буџета, (водећи рачуна о смјерницама садржаним у Документу оквирног буџета РС за период 20</w:t>
      </w:r>
      <w:r w:rsidR="004852FB">
        <w:rPr>
          <w:lang w:val="sr-Latn-BA"/>
        </w:rPr>
        <w:t>2</w:t>
      </w:r>
      <w:r w:rsidR="004852FB">
        <w:rPr>
          <w:lang w:val="sr-Cyrl-BA"/>
        </w:rPr>
        <w:t>3</w:t>
      </w:r>
      <w:r w:rsidR="00554F08">
        <w:rPr>
          <w:lang w:val="sr-Cyrl-BA"/>
        </w:rPr>
        <w:t>. – 20</w:t>
      </w:r>
      <w:r w:rsidR="004852FB">
        <w:rPr>
          <w:lang w:val="sr-Latn-BA"/>
        </w:rPr>
        <w:t>2</w:t>
      </w:r>
      <w:r w:rsidR="004852FB">
        <w:rPr>
          <w:lang w:val="sr-Cyrl-BA"/>
        </w:rPr>
        <w:t>5</w:t>
      </w:r>
      <w:r w:rsidR="00720A96">
        <w:rPr>
          <w:lang w:val="sr-Cyrl-BA"/>
        </w:rPr>
        <w:t>. године.</w:t>
      </w:r>
    </w:p>
    <w:p w:rsidR="008C2A35" w:rsidRDefault="00720A96" w:rsidP="008C2A35">
      <w:pPr>
        <w:ind w:firstLine="720"/>
        <w:jc w:val="both"/>
        <w:rPr>
          <w:lang w:val="sr-Cyrl-BA"/>
        </w:rPr>
      </w:pPr>
      <w:r>
        <w:rPr>
          <w:lang w:val="sr-Latn-CS"/>
        </w:rPr>
        <w:t xml:space="preserve"> -</w:t>
      </w:r>
      <w:r w:rsidR="008C2A35">
        <w:rPr>
          <w:lang w:val="sr-Cyrl-BA"/>
        </w:rPr>
        <w:t>до 0</w:t>
      </w:r>
      <w:r w:rsidR="0060654F">
        <w:rPr>
          <w:lang w:val="sr-Latn-CS"/>
        </w:rPr>
        <w:t>1</w:t>
      </w:r>
      <w:r>
        <w:rPr>
          <w:lang w:val="sr-Cyrl-BA"/>
        </w:rPr>
        <w:t>. новембра Начелник општине усваја Нацрт буџета и достав</w:t>
      </w:r>
      <w:r w:rsidR="008C2A35">
        <w:rPr>
          <w:lang w:val="sr-Cyrl-BA"/>
        </w:rPr>
        <w:t>ља га Министарству финансија РС и СО-е.</w:t>
      </w:r>
    </w:p>
    <w:p w:rsidR="00720A96" w:rsidRPr="008C2A35" w:rsidRDefault="008C2A35" w:rsidP="008C2A35">
      <w:pPr>
        <w:ind w:firstLine="720"/>
        <w:jc w:val="both"/>
        <w:rPr>
          <w:lang w:val="sr-Cyrl-CS"/>
        </w:rPr>
      </w:pPr>
      <w:r>
        <w:rPr>
          <w:lang w:val="sr-Cyrl-BA"/>
        </w:rPr>
        <w:t>-до 15</w:t>
      </w:r>
      <w:r w:rsidR="00720A96">
        <w:rPr>
          <w:lang w:val="sr-Cyrl-BA"/>
        </w:rPr>
        <w:t xml:space="preserve">. </w:t>
      </w:r>
      <w:r w:rsidR="000C4EBF">
        <w:rPr>
          <w:lang w:val="sr-Cyrl-BA"/>
        </w:rPr>
        <w:t>Н</w:t>
      </w:r>
      <w:r w:rsidR="00720A96">
        <w:rPr>
          <w:lang w:val="sr-Cyrl-BA"/>
        </w:rPr>
        <w:t>овембра</w:t>
      </w:r>
      <w:r w:rsidR="000C4EBF">
        <w:rPr>
          <w:lang w:val="sr-Cyrl-BA"/>
        </w:rPr>
        <w:t xml:space="preserve"> СО-е се изјашњава о нацрту буџета општине,а</w:t>
      </w:r>
      <w:r w:rsidR="00720A96">
        <w:rPr>
          <w:lang w:val="sr-Cyrl-BA"/>
        </w:rPr>
        <w:t xml:space="preserve"> Министарство финан</w:t>
      </w:r>
      <w:r>
        <w:rPr>
          <w:lang w:val="sr-Cyrl-BA"/>
        </w:rPr>
        <w:t xml:space="preserve">сија даје своје препоруке </w:t>
      </w:r>
      <w:r w:rsidR="00720A96">
        <w:rPr>
          <w:lang w:val="sr-Cyrl-BA"/>
        </w:rPr>
        <w:t>за израду приједлога буџета.</w:t>
      </w:r>
    </w:p>
    <w:p w:rsidR="00720A96" w:rsidRDefault="008C2A35" w:rsidP="008C2A35">
      <w:pPr>
        <w:ind w:firstLine="720"/>
        <w:jc w:val="both"/>
        <w:rPr>
          <w:lang w:val="sr-Cyrl-BA"/>
        </w:rPr>
      </w:pPr>
      <w:r>
        <w:rPr>
          <w:lang w:val="sr-Cyrl-BA"/>
        </w:rPr>
        <w:t>-</w:t>
      </w:r>
      <w:r w:rsidR="000C4EBF">
        <w:rPr>
          <w:lang w:val="sr-Cyrl-BA"/>
        </w:rPr>
        <w:t>до  0</w:t>
      </w:r>
      <w:r w:rsidR="0060654F">
        <w:rPr>
          <w:lang w:val="sr-Latn-CS"/>
        </w:rPr>
        <w:t>5</w:t>
      </w:r>
      <w:r w:rsidR="00720A96">
        <w:rPr>
          <w:lang w:val="sr-Cyrl-BA"/>
        </w:rPr>
        <w:t>. децембра Начелник општине утврђује коначан текст приједлога буџета.</w:t>
      </w:r>
    </w:p>
    <w:p w:rsidR="00720A96" w:rsidRDefault="00720A96">
      <w:pPr>
        <w:jc w:val="both"/>
        <w:rPr>
          <w:lang w:val="sr-Cyrl-BA"/>
        </w:rPr>
      </w:pPr>
    </w:p>
    <w:p w:rsidR="00D56A0C" w:rsidRDefault="000C4EBF">
      <w:pPr>
        <w:jc w:val="both"/>
        <w:rPr>
          <w:lang w:val="sr-Cyrl-BA"/>
        </w:rPr>
      </w:pPr>
      <w:r>
        <w:rPr>
          <w:lang w:val="sr-Cyrl-BA"/>
        </w:rPr>
        <w:tab/>
      </w:r>
      <w:r w:rsidR="00720A96">
        <w:rPr>
          <w:lang w:val="sr-Cyrl-BA"/>
        </w:rPr>
        <w:t>- до  15. децембра СО-е</w:t>
      </w:r>
      <w:r w:rsidR="00D56A0C">
        <w:rPr>
          <w:lang w:val="sr-Cyrl-BA"/>
        </w:rPr>
        <w:t xml:space="preserve"> доноси буџет за наредну годину,</w:t>
      </w:r>
      <w:r w:rsidRPr="000C4EBF">
        <w:rPr>
          <w:lang w:val="sr-Cyrl-BA"/>
        </w:rPr>
        <w:t xml:space="preserve"> </w:t>
      </w:r>
    </w:p>
    <w:p w:rsidR="00720A96" w:rsidRDefault="00D56A0C" w:rsidP="00D56A0C">
      <w:pPr>
        <w:jc w:val="both"/>
        <w:rPr>
          <w:lang w:val="sr-Cyrl-BA"/>
        </w:rPr>
      </w:pPr>
      <w:r>
        <w:rPr>
          <w:lang w:val="sr-Cyrl-BA"/>
        </w:rPr>
        <w:t xml:space="preserve">           - до  24. децембра </w:t>
      </w:r>
      <w:r w:rsidR="000C4EBF">
        <w:rPr>
          <w:lang w:val="sr-Cyrl-BA"/>
        </w:rPr>
        <w:t>Одјељење за финансије доставља усвојени буџет општине Министарству финансија.</w:t>
      </w:r>
    </w:p>
    <w:p w:rsidR="000C4EBF" w:rsidRDefault="00720A96">
      <w:pPr>
        <w:jc w:val="both"/>
        <w:rPr>
          <w:lang w:val="sr-Cyrl-BA"/>
        </w:rPr>
      </w:pPr>
      <w:r>
        <w:rPr>
          <w:lang w:val="sr-Cyrl-BA"/>
        </w:rPr>
        <w:tab/>
      </w:r>
      <w:r>
        <w:rPr>
          <w:lang w:val="sr-Cyrl-BA"/>
        </w:rPr>
        <w:tab/>
      </w:r>
    </w:p>
    <w:p w:rsidR="00720A96" w:rsidRDefault="00720A96" w:rsidP="000A0995">
      <w:pPr>
        <w:ind w:firstLine="720"/>
        <w:jc w:val="both"/>
        <w:rPr>
          <w:lang w:val="sr-Cyrl-BA"/>
        </w:rPr>
      </w:pPr>
      <w:r>
        <w:rPr>
          <w:lang w:val="sr-Cyrl-BA"/>
        </w:rPr>
        <w:t>У периоду од усвајања Нацрта буџета до</w:t>
      </w:r>
      <w:r w:rsidR="00B47A81">
        <w:rPr>
          <w:lang w:val="sr-Cyrl-BA"/>
        </w:rPr>
        <w:t xml:space="preserve"> утврђивања приједлог буџета (25</w:t>
      </w:r>
      <w:r>
        <w:rPr>
          <w:lang w:val="sr-Cyrl-BA"/>
        </w:rPr>
        <w:t xml:space="preserve">. </w:t>
      </w:r>
      <w:r w:rsidR="00B47A81">
        <w:rPr>
          <w:lang w:val="sr-Cyrl-BA"/>
        </w:rPr>
        <w:t>новембар</w:t>
      </w:r>
      <w:r>
        <w:rPr>
          <w:lang w:val="sr-Cyrl-BA"/>
        </w:rPr>
        <w:t xml:space="preserve">) биће организована јавна расправа како би се прикупило што више квалитетних приједлога и сугестија </w:t>
      </w:r>
      <w:r>
        <w:rPr>
          <w:lang w:val="sr-Cyrl-CS"/>
        </w:rPr>
        <w:t xml:space="preserve">од стране грађана </w:t>
      </w:r>
      <w:r>
        <w:rPr>
          <w:lang w:val="sr-Cyrl-BA"/>
        </w:rPr>
        <w:t>за израду буџета, а који ће бити презентирани одборницима СО-е приликом усвајања Буџета.</w:t>
      </w:r>
    </w:p>
    <w:p w:rsidR="00720A96" w:rsidRDefault="000A0995">
      <w:pPr>
        <w:jc w:val="both"/>
        <w:rPr>
          <w:lang w:val="sr-Cyrl-CS"/>
        </w:rPr>
      </w:pPr>
      <w:r>
        <w:rPr>
          <w:lang w:val="sr-Cyrl-CS"/>
        </w:rPr>
        <w:tab/>
      </w:r>
      <w:r w:rsidR="00720A96">
        <w:rPr>
          <w:lang w:val="sr-Cyrl-CS"/>
        </w:rPr>
        <w:t>Накнадно доставље</w:t>
      </w:r>
      <w:r>
        <w:rPr>
          <w:lang w:val="sr-Cyrl-CS"/>
        </w:rPr>
        <w:t xml:space="preserve">ни буџетски захтјеви (послије </w:t>
      </w:r>
      <w:r w:rsidR="0060654F">
        <w:rPr>
          <w:lang w:val="sr-Latn-CS"/>
        </w:rPr>
        <w:t>15</w:t>
      </w:r>
      <w:r w:rsidR="00720A96">
        <w:rPr>
          <w:lang w:val="sr-Cyrl-CS"/>
        </w:rPr>
        <w:t xml:space="preserve">.септембра) </w:t>
      </w:r>
      <w:r w:rsidR="00720A96">
        <w:rPr>
          <w:b/>
          <w:bCs/>
          <w:lang w:val="sr-Cyrl-CS"/>
        </w:rPr>
        <w:t>неће</w:t>
      </w:r>
      <w:r w:rsidR="00720A96">
        <w:rPr>
          <w:lang w:val="sr-Cyrl-CS"/>
        </w:rPr>
        <w:t xml:space="preserve"> се узимати у обзир.</w:t>
      </w:r>
    </w:p>
    <w:p w:rsidR="00720A96" w:rsidRDefault="00720A96" w:rsidP="000A0995">
      <w:pPr>
        <w:jc w:val="both"/>
        <w:rPr>
          <w:lang w:val="sr-Cyrl-CS"/>
        </w:rPr>
      </w:pPr>
    </w:p>
    <w:p w:rsidR="00720A96" w:rsidRDefault="00720A96">
      <w:pPr>
        <w:jc w:val="both"/>
        <w:rPr>
          <w:lang w:val="sr-Cyrl-BA"/>
        </w:rPr>
      </w:pPr>
    </w:p>
    <w:p w:rsidR="00720A96" w:rsidRDefault="00720A96">
      <w:pPr>
        <w:jc w:val="both"/>
        <w:rPr>
          <w:lang w:val="sr-Cyrl-CS"/>
        </w:rPr>
      </w:pPr>
      <w:r>
        <w:rPr>
          <w:lang w:val="sr-Cyrl-CS"/>
        </w:rPr>
        <w:t xml:space="preserve">                                                                       ОДЈЕЉЕЊЕ ЗА ФИНАНСИЈЕ</w:t>
      </w:r>
    </w:p>
    <w:sectPr w:rsidR="00720A96" w:rsidSect="00DF3236">
      <w:pgSz w:w="11906" w:h="16838"/>
      <w:pgMar w:top="1440" w:right="1975"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112001"/>
    <w:multiLevelType w:val="hybridMultilevel"/>
    <w:tmpl w:val="DCBE2936"/>
    <w:lvl w:ilvl="0" w:tplc="561E29D0">
      <w:start w:val="1"/>
      <w:numFmt w:val="bullet"/>
      <w:lvlText w:val=""/>
      <w:lvlJc w:val="left"/>
      <w:pPr>
        <w:ind w:left="780" w:hanging="360"/>
      </w:pPr>
      <w:rPr>
        <w:rFonts w:ascii="Symbol" w:hAnsi="Symbol" w:hint="default"/>
      </w:rPr>
    </w:lvl>
    <w:lvl w:ilvl="1" w:tplc="181A0003" w:tentative="1">
      <w:start w:val="1"/>
      <w:numFmt w:val="bullet"/>
      <w:lvlText w:val="o"/>
      <w:lvlJc w:val="left"/>
      <w:pPr>
        <w:ind w:left="1500" w:hanging="360"/>
      </w:pPr>
      <w:rPr>
        <w:rFonts w:ascii="Courier New" w:hAnsi="Courier New" w:cs="Courier New" w:hint="default"/>
      </w:rPr>
    </w:lvl>
    <w:lvl w:ilvl="2" w:tplc="181A0005" w:tentative="1">
      <w:start w:val="1"/>
      <w:numFmt w:val="bullet"/>
      <w:lvlText w:val=""/>
      <w:lvlJc w:val="left"/>
      <w:pPr>
        <w:ind w:left="2220" w:hanging="360"/>
      </w:pPr>
      <w:rPr>
        <w:rFonts w:ascii="Wingdings" w:hAnsi="Wingdings" w:hint="default"/>
      </w:rPr>
    </w:lvl>
    <w:lvl w:ilvl="3" w:tplc="181A0001" w:tentative="1">
      <w:start w:val="1"/>
      <w:numFmt w:val="bullet"/>
      <w:lvlText w:val=""/>
      <w:lvlJc w:val="left"/>
      <w:pPr>
        <w:ind w:left="2940" w:hanging="360"/>
      </w:pPr>
      <w:rPr>
        <w:rFonts w:ascii="Symbol" w:hAnsi="Symbol" w:hint="default"/>
      </w:rPr>
    </w:lvl>
    <w:lvl w:ilvl="4" w:tplc="181A0003" w:tentative="1">
      <w:start w:val="1"/>
      <w:numFmt w:val="bullet"/>
      <w:lvlText w:val="o"/>
      <w:lvlJc w:val="left"/>
      <w:pPr>
        <w:ind w:left="3660" w:hanging="360"/>
      </w:pPr>
      <w:rPr>
        <w:rFonts w:ascii="Courier New" w:hAnsi="Courier New" w:cs="Courier New" w:hint="default"/>
      </w:rPr>
    </w:lvl>
    <w:lvl w:ilvl="5" w:tplc="181A0005" w:tentative="1">
      <w:start w:val="1"/>
      <w:numFmt w:val="bullet"/>
      <w:lvlText w:val=""/>
      <w:lvlJc w:val="left"/>
      <w:pPr>
        <w:ind w:left="4380" w:hanging="360"/>
      </w:pPr>
      <w:rPr>
        <w:rFonts w:ascii="Wingdings" w:hAnsi="Wingdings" w:hint="default"/>
      </w:rPr>
    </w:lvl>
    <w:lvl w:ilvl="6" w:tplc="181A0001" w:tentative="1">
      <w:start w:val="1"/>
      <w:numFmt w:val="bullet"/>
      <w:lvlText w:val=""/>
      <w:lvlJc w:val="left"/>
      <w:pPr>
        <w:ind w:left="5100" w:hanging="360"/>
      </w:pPr>
      <w:rPr>
        <w:rFonts w:ascii="Symbol" w:hAnsi="Symbol" w:hint="default"/>
      </w:rPr>
    </w:lvl>
    <w:lvl w:ilvl="7" w:tplc="181A0003" w:tentative="1">
      <w:start w:val="1"/>
      <w:numFmt w:val="bullet"/>
      <w:lvlText w:val="o"/>
      <w:lvlJc w:val="left"/>
      <w:pPr>
        <w:ind w:left="5820" w:hanging="360"/>
      </w:pPr>
      <w:rPr>
        <w:rFonts w:ascii="Courier New" w:hAnsi="Courier New" w:cs="Courier New" w:hint="default"/>
      </w:rPr>
    </w:lvl>
    <w:lvl w:ilvl="8" w:tplc="181A0005" w:tentative="1">
      <w:start w:val="1"/>
      <w:numFmt w:val="bullet"/>
      <w:lvlText w:val=""/>
      <w:lvlJc w:val="left"/>
      <w:pPr>
        <w:ind w:left="6540" w:hanging="360"/>
      </w:pPr>
      <w:rPr>
        <w:rFonts w:ascii="Wingdings" w:hAnsi="Wingdings" w:hint="default"/>
      </w:rPr>
    </w:lvl>
  </w:abstractNum>
  <w:abstractNum w:abstractNumId="4">
    <w:nsid w:val="46753B6D"/>
    <w:multiLevelType w:val="hybridMultilevel"/>
    <w:tmpl w:val="6BC60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compat>
  <w:rsids>
    <w:rsidRoot w:val="00B3588B"/>
    <w:rsid w:val="00007C52"/>
    <w:rsid w:val="00013414"/>
    <w:rsid w:val="000265B7"/>
    <w:rsid w:val="00046C4B"/>
    <w:rsid w:val="000564F1"/>
    <w:rsid w:val="00062F28"/>
    <w:rsid w:val="000666B7"/>
    <w:rsid w:val="00066C6D"/>
    <w:rsid w:val="00066C9C"/>
    <w:rsid w:val="00072E96"/>
    <w:rsid w:val="000752FC"/>
    <w:rsid w:val="00080ADE"/>
    <w:rsid w:val="00081A2C"/>
    <w:rsid w:val="00097303"/>
    <w:rsid w:val="000A0995"/>
    <w:rsid w:val="000A6F24"/>
    <w:rsid w:val="000B22F4"/>
    <w:rsid w:val="000B7427"/>
    <w:rsid w:val="000C3C6B"/>
    <w:rsid w:val="000C4EBF"/>
    <w:rsid w:val="000D0B2C"/>
    <w:rsid w:val="000D53C4"/>
    <w:rsid w:val="000D5DEE"/>
    <w:rsid w:val="000D68FF"/>
    <w:rsid w:val="000E1EE2"/>
    <w:rsid w:val="000E6C02"/>
    <w:rsid w:val="000F3C45"/>
    <w:rsid w:val="000F5D91"/>
    <w:rsid w:val="000F7735"/>
    <w:rsid w:val="00103B2D"/>
    <w:rsid w:val="00104924"/>
    <w:rsid w:val="00110DE0"/>
    <w:rsid w:val="00112400"/>
    <w:rsid w:val="00114E7E"/>
    <w:rsid w:val="001160E4"/>
    <w:rsid w:val="00130DC5"/>
    <w:rsid w:val="001347D8"/>
    <w:rsid w:val="001461C0"/>
    <w:rsid w:val="00147E02"/>
    <w:rsid w:val="00151AD9"/>
    <w:rsid w:val="00152BAC"/>
    <w:rsid w:val="001631A2"/>
    <w:rsid w:val="00172AF9"/>
    <w:rsid w:val="00184C05"/>
    <w:rsid w:val="001A28D5"/>
    <w:rsid w:val="001A408E"/>
    <w:rsid w:val="001B19B8"/>
    <w:rsid w:val="001B633C"/>
    <w:rsid w:val="001E5E6D"/>
    <w:rsid w:val="001F1940"/>
    <w:rsid w:val="001F424B"/>
    <w:rsid w:val="001F6B2D"/>
    <w:rsid w:val="00210DED"/>
    <w:rsid w:val="00211C6E"/>
    <w:rsid w:val="002202E3"/>
    <w:rsid w:val="00222DEA"/>
    <w:rsid w:val="00223428"/>
    <w:rsid w:val="00233125"/>
    <w:rsid w:val="002407A4"/>
    <w:rsid w:val="00256489"/>
    <w:rsid w:val="00274D11"/>
    <w:rsid w:val="002770B6"/>
    <w:rsid w:val="00277E0B"/>
    <w:rsid w:val="00282DD0"/>
    <w:rsid w:val="00291464"/>
    <w:rsid w:val="00291631"/>
    <w:rsid w:val="002945BD"/>
    <w:rsid w:val="00295735"/>
    <w:rsid w:val="002957D1"/>
    <w:rsid w:val="0029589B"/>
    <w:rsid w:val="002B0D5B"/>
    <w:rsid w:val="002B22F8"/>
    <w:rsid w:val="002B481A"/>
    <w:rsid w:val="002C01A6"/>
    <w:rsid w:val="002C453F"/>
    <w:rsid w:val="002D0893"/>
    <w:rsid w:val="002D336E"/>
    <w:rsid w:val="002F6533"/>
    <w:rsid w:val="00327835"/>
    <w:rsid w:val="00334087"/>
    <w:rsid w:val="003353A1"/>
    <w:rsid w:val="003525E2"/>
    <w:rsid w:val="0035481C"/>
    <w:rsid w:val="0035720F"/>
    <w:rsid w:val="003608A2"/>
    <w:rsid w:val="00362FA4"/>
    <w:rsid w:val="003678A8"/>
    <w:rsid w:val="00370F40"/>
    <w:rsid w:val="003775AF"/>
    <w:rsid w:val="00387865"/>
    <w:rsid w:val="003A7123"/>
    <w:rsid w:val="003B51C0"/>
    <w:rsid w:val="003C3D77"/>
    <w:rsid w:val="003C6ED1"/>
    <w:rsid w:val="003C7A29"/>
    <w:rsid w:val="003F4435"/>
    <w:rsid w:val="004004A5"/>
    <w:rsid w:val="0041127C"/>
    <w:rsid w:val="00414587"/>
    <w:rsid w:val="00415B6D"/>
    <w:rsid w:val="00416EDC"/>
    <w:rsid w:val="00447BE9"/>
    <w:rsid w:val="004610CB"/>
    <w:rsid w:val="004711B3"/>
    <w:rsid w:val="0048263D"/>
    <w:rsid w:val="00484FD5"/>
    <w:rsid w:val="004852FB"/>
    <w:rsid w:val="00494DCC"/>
    <w:rsid w:val="004A640F"/>
    <w:rsid w:val="004C5541"/>
    <w:rsid w:val="004C5564"/>
    <w:rsid w:val="004C7E48"/>
    <w:rsid w:val="004D1349"/>
    <w:rsid w:val="004D3732"/>
    <w:rsid w:val="004D5C69"/>
    <w:rsid w:val="004E6FA8"/>
    <w:rsid w:val="00511FC7"/>
    <w:rsid w:val="005178D8"/>
    <w:rsid w:val="00517F0D"/>
    <w:rsid w:val="00520202"/>
    <w:rsid w:val="005246E9"/>
    <w:rsid w:val="0053035D"/>
    <w:rsid w:val="00531D56"/>
    <w:rsid w:val="00542866"/>
    <w:rsid w:val="00542963"/>
    <w:rsid w:val="00544D46"/>
    <w:rsid w:val="00546950"/>
    <w:rsid w:val="00554F08"/>
    <w:rsid w:val="0056195E"/>
    <w:rsid w:val="00567EB0"/>
    <w:rsid w:val="00575D30"/>
    <w:rsid w:val="00581530"/>
    <w:rsid w:val="005975B3"/>
    <w:rsid w:val="005B7D66"/>
    <w:rsid w:val="005C1C5B"/>
    <w:rsid w:val="005C7356"/>
    <w:rsid w:val="005D1999"/>
    <w:rsid w:val="005D3944"/>
    <w:rsid w:val="005D5577"/>
    <w:rsid w:val="005E54B1"/>
    <w:rsid w:val="00600B2E"/>
    <w:rsid w:val="0060654F"/>
    <w:rsid w:val="00612C54"/>
    <w:rsid w:val="00626AA1"/>
    <w:rsid w:val="006349CA"/>
    <w:rsid w:val="00640863"/>
    <w:rsid w:val="00646185"/>
    <w:rsid w:val="00647BB9"/>
    <w:rsid w:val="006516C0"/>
    <w:rsid w:val="00655239"/>
    <w:rsid w:val="006625BC"/>
    <w:rsid w:val="00663DFE"/>
    <w:rsid w:val="00667442"/>
    <w:rsid w:val="006732F1"/>
    <w:rsid w:val="006807F0"/>
    <w:rsid w:val="0068584A"/>
    <w:rsid w:val="006876AD"/>
    <w:rsid w:val="00691423"/>
    <w:rsid w:val="006A1064"/>
    <w:rsid w:val="006A38A4"/>
    <w:rsid w:val="006B0A68"/>
    <w:rsid w:val="006B140D"/>
    <w:rsid w:val="006B1489"/>
    <w:rsid w:val="006B63B0"/>
    <w:rsid w:val="006B7075"/>
    <w:rsid w:val="006D6607"/>
    <w:rsid w:val="006E39FB"/>
    <w:rsid w:val="006E4E65"/>
    <w:rsid w:val="006E612E"/>
    <w:rsid w:val="006F3CF2"/>
    <w:rsid w:val="006F582A"/>
    <w:rsid w:val="006F7DDF"/>
    <w:rsid w:val="00700E6C"/>
    <w:rsid w:val="00705AB5"/>
    <w:rsid w:val="00714547"/>
    <w:rsid w:val="00720A96"/>
    <w:rsid w:val="00725BFA"/>
    <w:rsid w:val="00725DBE"/>
    <w:rsid w:val="00735BE8"/>
    <w:rsid w:val="007426A2"/>
    <w:rsid w:val="0075704E"/>
    <w:rsid w:val="00766145"/>
    <w:rsid w:val="00774759"/>
    <w:rsid w:val="00796B66"/>
    <w:rsid w:val="00796DB2"/>
    <w:rsid w:val="007A5C6D"/>
    <w:rsid w:val="007C0638"/>
    <w:rsid w:val="007C779A"/>
    <w:rsid w:val="007E7C0D"/>
    <w:rsid w:val="007F0429"/>
    <w:rsid w:val="008032C2"/>
    <w:rsid w:val="008062D0"/>
    <w:rsid w:val="00813645"/>
    <w:rsid w:val="008203D0"/>
    <w:rsid w:val="00822BFC"/>
    <w:rsid w:val="00825F8F"/>
    <w:rsid w:val="00826B5D"/>
    <w:rsid w:val="0085181A"/>
    <w:rsid w:val="00855060"/>
    <w:rsid w:val="00855610"/>
    <w:rsid w:val="008622FE"/>
    <w:rsid w:val="00865CD3"/>
    <w:rsid w:val="00881D88"/>
    <w:rsid w:val="00891876"/>
    <w:rsid w:val="00896168"/>
    <w:rsid w:val="00896DC2"/>
    <w:rsid w:val="008A0E1A"/>
    <w:rsid w:val="008A30A6"/>
    <w:rsid w:val="008A5C85"/>
    <w:rsid w:val="008A62D8"/>
    <w:rsid w:val="008A7212"/>
    <w:rsid w:val="008B6F49"/>
    <w:rsid w:val="008C2A35"/>
    <w:rsid w:val="008C7080"/>
    <w:rsid w:val="008D5A92"/>
    <w:rsid w:val="008D7510"/>
    <w:rsid w:val="008F5784"/>
    <w:rsid w:val="00900E29"/>
    <w:rsid w:val="00906D70"/>
    <w:rsid w:val="00913A6D"/>
    <w:rsid w:val="00914B65"/>
    <w:rsid w:val="009300C6"/>
    <w:rsid w:val="00942130"/>
    <w:rsid w:val="00944670"/>
    <w:rsid w:val="009509C8"/>
    <w:rsid w:val="00955075"/>
    <w:rsid w:val="00964BB3"/>
    <w:rsid w:val="00975931"/>
    <w:rsid w:val="009A1B29"/>
    <w:rsid w:val="009A7A6F"/>
    <w:rsid w:val="009B56C6"/>
    <w:rsid w:val="009F11BC"/>
    <w:rsid w:val="00A052DF"/>
    <w:rsid w:val="00A10FBB"/>
    <w:rsid w:val="00A13200"/>
    <w:rsid w:val="00A326CA"/>
    <w:rsid w:val="00A3719C"/>
    <w:rsid w:val="00A43AE5"/>
    <w:rsid w:val="00A4572A"/>
    <w:rsid w:val="00A55820"/>
    <w:rsid w:val="00A577C7"/>
    <w:rsid w:val="00A70C51"/>
    <w:rsid w:val="00A711F6"/>
    <w:rsid w:val="00A928BB"/>
    <w:rsid w:val="00A951D5"/>
    <w:rsid w:val="00A975F0"/>
    <w:rsid w:val="00AA01BF"/>
    <w:rsid w:val="00AB1AC5"/>
    <w:rsid w:val="00AD0413"/>
    <w:rsid w:val="00AD7E9B"/>
    <w:rsid w:val="00AE1CAD"/>
    <w:rsid w:val="00AE1E29"/>
    <w:rsid w:val="00AE48F3"/>
    <w:rsid w:val="00AE64B8"/>
    <w:rsid w:val="00AE75AD"/>
    <w:rsid w:val="00AF13C8"/>
    <w:rsid w:val="00B0015E"/>
    <w:rsid w:val="00B1223C"/>
    <w:rsid w:val="00B12905"/>
    <w:rsid w:val="00B1696B"/>
    <w:rsid w:val="00B16A6B"/>
    <w:rsid w:val="00B2256A"/>
    <w:rsid w:val="00B22CE1"/>
    <w:rsid w:val="00B31785"/>
    <w:rsid w:val="00B324AE"/>
    <w:rsid w:val="00B32609"/>
    <w:rsid w:val="00B3588B"/>
    <w:rsid w:val="00B47A81"/>
    <w:rsid w:val="00B52AC5"/>
    <w:rsid w:val="00B64D86"/>
    <w:rsid w:val="00B81B2A"/>
    <w:rsid w:val="00B824B5"/>
    <w:rsid w:val="00B84284"/>
    <w:rsid w:val="00B87FBB"/>
    <w:rsid w:val="00BA05D8"/>
    <w:rsid w:val="00BA3E12"/>
    <w:rsid w:val="00BA5299"/>
    <w:rsid w:val="00BC1178"/>
    <w:rsid w:val="00BD0B13"/>
    <w:rsid w:val="00BD589E"/>
    <w:rsid w:val="00BE00F5"/>
    <w:rsid w:val="00BE4FDA"/>
    <w:rsid w:val="00BE6D9A"/>
    <w:rsid w:val="00BF2843"/>
    <w:rsid w:val="00BF3C22"/>
    <w:rsid w:val="00C0340A"/>
    <w:rsid w:val="00C068B6"/>
    <w:rsid w:val="00C069BF"/>
    <w:rsid w:val="00C26B70"/>
    <w:rsid w:val="00C27C1E"/>
    <w:rsid w:val="00C31575"/>
    <w:rsid w:val="00C31FE9"/>
    <w:rsid w:val="00C32EF2"/>
    <w:rsid w:val="00C37566"/>
    <w:rsid w:val="00C430DD"/>
    <w:rsid w:val="00C44904"/>
    <w:rsid w:val="00C45B2B"/>
    <w:rsid w:val="00C47618"/>
    <w:rsid w:val="00C5067B"/>
    <w:rsid w:val="00C536ED"/>
    <w:rsid w:val="00C64029"/>
    <w:rsid w:val="00C71E92"/>
    <w:rsid w:val="00C73CB0"/>
    <w:rsid w:val="00C75923"/>
    <w:rsid w:val="00C774D0"/>
    <w:rsid w:val="00C914D6"/>
    <w:rsid w:val="00C944E1"/>
    <w:rsid w:val="00C963E9"/>
    <w:rsid w:val="00CA3EE1"/>
    <w:rsid w:val="00CB1300"/>
    <w:rsid w:val="00CB723B"/>
    <w:rsid w:val="00CC08D0"/>
    <w:rsid w:val="00CC527D"/>
    <w:rsid w:val="00CD2057"/>
    <w:rsid w:val="00CD7CBF"/>
    <w:rsid w:val="00CE1D15"/>
    <w:rsid w:val="00CE4D36"/>
    <w:rsid w:val="00CF2BC4"/>
    <w:rsid w:val="00CF3621"/>
    <w:rsid w:val="00CF4A1F"/>
    <w:rsid w:val="00D04366"/>
    <w:rsid w:val="00D12319"/>
    <w:rsid w:val="00D14979"/>
    <w:rsid w:val="00D17BE0"/>
    <w:rsid w:val="00D17EDA"/>
    <w:rsid w:val="00D31CBC"/>
    <w:rsid w:val="00D56A0C"/>
    <w:rsid w:val="00D6208D"/>
    <w:rsid w:val="00D72455"/>
    <w:rsid w:val="00D80D09"/>
    <w:rsid w:val="00D90AE6"/>
    <w:rsid w:val="00D91BE0"/>
    <w:rsid w:val="00D94BB1"/>
    <w:rsid w:val="00DA209F"/>
    <w:rsid w:val="00DA4C11"/>
    <w:rsid w:val="00DA52CB"/>
    <w:rsid w:val="00DB612E"/>
    <w:rsid w:val="00DC42EE"/>
    <w:rsid w:val="00DC4AD3"/>
    <w:rsid w:val="00DC4F30"/>
    <w:rsid w:val="00DC6918"/>
    <w:rsid w:val="00DD0099"/>
    <w:rsid w:val="00DD2E7A"/>
    <w:rsid w:val="00DD7294"/>
    <w:rsid w:val="00DE2EE4"/>
    <w:rsid w:val="00DE48DD"/>
    <w:rsid w:val="00DE4F27"/>
    <w:rsid w:val="00DF3236"/>
    <w:rsid w:val="00E00CB1"/>
    <w:rsid w:val="00E01CC8"/>
    <w:rsid w:val="00E03443"/>
    <w:rsid w:val="00E246D0"/>
    <w:rsid w:val="00E36B7E"/>
    <w:rsid w:val="00E4172B"/>
    <w:rsid w:val="00E42EC1"/>
    <w:rsid w:val="00E61E87"/>
    <w:rsid w:val="00E65AEA"/>
    <w:rsid w:val="00E75083"/>
    <w:rsid w:val="00E90AED"/>
    <w:rsid w:val="00E9460A"/>
    <w:rsid w:val="00E956A7"/>
    <w:rsid w:val="00EA1F0D"/>
    <w:rsid w:val="00EB12FD"/>
    <w:rsid w:val="00EB3570"/>
    <w:rsid w:val="00EC1DFD"/>
    <w:rsid w:val="00EC44C0"/>
    <w:rsid w:val="00EC6E04"/>
    <w:rsid w:val="00EC7350"/>
    <w:rsid w:val="00ED23B2"/>
    <w:rsid w:val="00ED2AFD"/>
    <w:rsid w:val="00ED5CFE"/>
    <w:rsid w:val="00ED73D2"/>
    <w:rsid w:val="00EE03B9"/>
    <w:rsid w:val="00EE113D"/>
    <w:rsid w:val="00EE1365"/>
    <w:rsid w:val="00EE32A7"/>
    <w:rsid w:val="00EE4AFF"/>
    <w:rsid w:val="00F00F46"/>
    <w:rsid w:val="00F07BEB"/>
    <w:rsid w:val="00F07EF4"/>
    <w:rsid w:val="00F15CE8"/>
    <w:rsid w:val="00F2236D"/>
    <w:rsid w:val="00F23CBF"/>
    <w:rsid w:val="00F40E97"/>
    <w:rsid w:val="00F42C8C"/>
    <w:rsid w:val="00F452F9"/>
    <w:rsid w:val="00F45745"/>
    <w:rsid w:val="00F476A5"/>
    <w:rsid w:val="00F55E05"/>
    <w:rsid w:val="00F55EA0"/>
    <w:rsid w:val="00F609AA"/>
    <w:rsid w:val="00F62927"/>
    <w:rsid w:val="00F63E13"/>
    <w:rsid w:val="00F64FEB"/>
    <w:rsid w:val="00F6598C"/>
    <w:rsid w:val="00F7294C"/>
    <w:rsid w:val="00F74D81"/>
    <w:rsid w:val="00F971BC"/>
    <w:rsid w:val="00FA1519"/>
    <w:rsid w:val="00FA2428"/>
    <w:rsid w:val="00FB3F5E"/>
    <w:rsid w:val="00FB49A7"/>
    <w:rsid w:val="00FC3ABB"/>
    <w:rsid w:val="00FE3878"/>
    <w:rsid w:val="00FE6B01"/>
    <w:rsid w:val="00FF26D4"/>
    <w:rsid w:val="00FF794F"/>
    <w:rsid w:val="00FF7AAE"/>
  </w:rsids>
  <m:mathPr>
    <m:mathFont m:val="Cambria Math"/>
    <m:brkBin m:val="before"/>
    <m:brkBinSub m:val="--"/>
    <m:smallFrac m:val="off"/>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BA" w:eastAsia="sr-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236"/>
    <w:pPr>
      <w:suppressAutoHyphens/>
    </w:pPr>
    <w:rPr>
      <w:rFonts w:ascii="Arial" w:hAnsi="Arial" w:cs="Arial"/>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F3236"/>
  </w:style>
  <w:style w:type="character" w:customStyle="1" w:styleId="WW-Absatz-Standardschriftart">
    <w:name w:val="WW-Absatz-Standardschriftart"/>
    <w:rsid w:val="00DF3236"/>
  </w:style>
  <w:style w:type="character" w:customStyle="1" w:styleId="WW-Absatz-Standardschriftart1">
    <w:name w:val="WW-Absatz-Standardschriftart1"/>
    <w:rsid w:val="00DF3236"/>
  </w:style>
  <w:style w:type="character" w:customStyle="1" w:styleId="WW-Absatz-Standardschriftart11">
    <w:name w:val="WW-Absatz-Standardschriftart11"/>
    <w:rsid w:val="00DF3236"/>
  </w:style>
  <w:style w:type="character" w:customStyle="1" w:styleId="WW-Absatz-Standardschriftart111">
    <w:name w:val="WW-Absatz-Standardschriftart111"/>
    <w:rsid w:val="00DF3236"/>
  </w:style>
  <w:style w:type="character" w:customStyle="1" w:styleId="WW-Absatz-Standardschriftart1111">
    <w:name w:val="WW-Absatz-Standardschriftart1111"/>
    <w:rsid w:val="00DF3236"/>
  </w:style>
  <w:style w:type="character" w:customStyle="1" w:styleId="WW-Absatz-Standardschriftart11111">
    <w:name w:val="WW-Absatz-Standardschriftart11111"/>
    <w:rsid w:val="00DF3236"/>
  </w:style>
  <w:style w:type="character" w:customStyle="1" w:styleId="WW-Absatz-Standardschriftart111111">
    <w:name w:val="WW-Absatz-Standardschriftart111111"/>
    <w:rsid w:val="00DF3236"/>
  </w:style>
  <w:style w:type="character" w:customStyle="1" w:styleId="WW-Absatz-Standardschriftart1111111">
    <w:name w:val="WW-Absatz-Standardschriftart1111111"/>
    <w:rsid w:val="00DF3236"/>
  </w:style>
  <w:style w:type="character" w:customStyle="1" w:styleId="WW-Absatz-Standardschriftart11111111">
    <w:name w:val="WW-Absatz-Standardschriftart11111111"/>
    <w:rsid w:val="00DF3236"/>
  </w:style>
  <w:style w:type="character" w:customStyle="1" w:styleId="WW8Num1z0">
    <w:name w:val="WW8Num1z0"/>
    <w:rsid w:val="00DF3236"/>
    <w:rPr>
      <w:rFonts w:ascii="Symbol" w:hAnsi="Symbol" w:cs="OpenSymbol"/>
    </w:rPr>
  </w:style>
  <w:style w:type="character" w:customStyle="1" w:styleId="WW8Num2z0">
    <w:name w:val="WW8Num2z0"/>
    <w:rsid w:val="00DF3236"/>
    <w:rPr>
      <w:rFonts w:ascii="Symbol" w:hAnsi="Symbol" w:cs="OpenSymbol"/>
    </w:rPr>
  </w:style>
  <w:style w:type="character" w:customStyle="1" w:styleId="WW-Absatz-Standardschriftart111111111">
    <w:name w:val="WW-Absatz-Standardschriftart111111111"/>
    <w:rsid w:val="00DF3236"/>
  </w:style>
  <w:style w:type="character" w:customStyle="1" w:styleId="WW-Absatz-Standardschriftart1111111111">
    <w:name w:val="WW-Absatz-Standardschriftart1111111111"/>
    <w:rsid w:val="00DF3236"/>
  </w:style>
  <w:style w:type="character" w:customStyle="1" w:styleId="WW-Absatz-Standardschriftart11111111111">
    <w:name w:val="WW-Absatz-Standardschriftart11111111111"/>
    <w:rsid w:val="00DF3236"/>
  </w:style>
  <w:style w:type="character" w:customStyle="1" w:styleId="WW-Absatz-Standardschriftart111111111111">
    <w:name w:val="WW-Absatz-Standardschriftart111111111111"/>
    <w:rsid w:val="00DF3236"/>
  </w:style>
  <w:style w:type="character" w:customStyle="1" w:styleId="DefaultParagraphFont1">
    <w:name w:val="Default Paragraph Font1"/>
    <w:rsid w:val="00DF3236"/>
  </w:style>
  <w:style w:type="character" w:customStyle="1" w:styleId="a">
    <w:name w:val="Ознаке за набрајање"/>
    <w:rsid w:val="00DF3236"/>
    <w:rPr>
      <w:rFonts w:ascii="OpenSymbol" w:eastAsia="OpenSymbol" w:hAnsi="OpenSymbol" w:cs="OpenSymbol"/>
    </w:rPr>
  </w:style>
  <w:style w:type="character" w:customStyle="1" w:styleId="a0">
    <w:name w:val="Симболи за нумерисање"/>
    <w:rsid w:val="00DF3236"/>
  </w:style>
  <w:style w:type="character" w:customStyle="1" w:styleId="Bullets">
    <w:name w:val="Bullets"/>
    <w:rsid w:val="00DF3236"/>
    <w:rPr>
      <w:rFonts w:ascii="OpenSymbol" w:eastAsia="OpenSymbol" w:hAnsi="OpenSymbol" w:cs="OpenSymbol"/>
    </w:rPr>
  </w:style>
  <w:style w:type="character" w:customStyle="1" w:styleId="NumberingSymbols">
    <w:name w:val="Numbering Symbols"/>
    <w:rsid w:val="00DF3236"/>
  </w:style>
  <w:style w:type="paragraph" w:customStyle="1" w:styleId="Heading">
    <w:name w:val="Heading"/>
    <w:basedOn w:val="Normal"/>
    <w:next w:val="BodyText"/>
    <w:rsid w:val="00DF3236"/>
    <w:pPr>
      <w:keepNext/>
      <w:spacing w:before="240" w:after="120"/>
    </w:pPr>
    <w:rPr>
      <w:rFonts w:eastAsia="Lucida Sans Unicode" w:cs="Mangal"/>
      <w:sz w:val="28"/>
      <w:szCs w:val="28"/>
    </w:rPr>
  </w:style>
  <w:style w:type="paragraph" w:styleId="BodyText">
    <w:name w:val="Body Text"/>
    <w:basedOn w:val="Normal"/>
    <w:rsid w:val="00DF3236"/>
    <w:pPr>
      <w:spacing w:after="120"/>
    </w:pPr>
  </w:style>
  <w:style w:type="paragraph" w:styleId="List">
    <w:name w:val="List"/>
    <w:basedOn w:val="BodyText"/>
    <w:rsid w:val="00DF3236"/>
    <w:rPr>
      <w:rFonts w:cs="Tahoma"/>
    </w:rPr>
  </w:style>
  <w:style w:type="paragraph" w:styleId="Caption">
    <w:name w:val="caption"/>
    <w:basedOn w:val="Normal"/>
    <w:qFormat/>
    <w:rsid w:val="00DF3236"/>
    <w:pPr>
      <w:suppressLineNumbers/>
      <w:spacing w:before="120" w:after="120"/>
    </w:pPr>
    <w:rPr>
      <w:rFonts w:cs="Tahoma"/>
      <w:i/>
      <w:iCs/>
      <w:sz w:val="20"/>
      <w:szCs w:val="20"/>
    </w:rPr>
  </w:style>
  <w:style w:type="paragraph" w:customStyle="1" w:styleId="Index">
    <w:name w:val="Index"/>
    <w:basedOn w:val="Normal"/>
    <w:rsid w:val="00DF3236"/>
    <w:pPr>
      <w:suppressLineNumbers/>
    </w:pPr>
    <w:rPr>
      <w:rFonts w:cs="Tahoma"/>
    </w:rPr>
  </w:style>
  <w:style w:type="paragraph" w:customStyle="1" w:styleId="a1">
    <w:name w:val="Заглавље"/>
    <w:basedOn w:val="Normal"/>
    <w:next w:val="BodyText"/>
    <w:rsid w:val="00DF3236"/>
    <w:pPr>
      <w:keepNext/>
      <w:spacing w:before="240" w:after="120"/>
    </w:pPr>
    <w:rPr>
      <w:rFonts w:eastAsia="Lucida Sans Unicode" w:cs="Tahoma"/>
      <w:sz w:val="28"/>
      <w:szCs w:val="28"/>
    </w:rPr>
  </w:style>
  <w:style w:type="paragraph" w:customStyle="1" w:styleId="a2">
    <w:name w:val="Наслов"/>
    <w:basedOn w:val="Normal"/>
    <w:rsid w:val="00DF3236"/>
    <w:pPr>
      <w:suppressLineNumbers/>
      <w:spacing w:before="120" w:after="120"/>
    </w:pPr>
    <w:rPr>
      <w:rFonts w:cs="Tahoma"/>
      <w:i/>
      <w:iCs/>
    </w:rPr>
  </w:style>
  <w:style w:type="paragraph" w:customStyle="1" w:styleId="a3">
    <w:name w:val="Индекс"/>
    <w:basedOn w:val="Normal"/>
    <w:rsid w:val="00DF3236"/>
    <w:pPr>
      <w:suppressLineNumbers/>
    </w:pPr>
    <w:rPr>
      <w:rFonts w:cs="Tahoma"/>
    </w:rPr>
  </w:style>
  <w:style w:type="paragraph" w:customStyle="1" w:styleId="TableContents">
    <w:name w:val="Table Contents"/>
    <w:basedOn w:val="Normal"/>
    <w:rsid w:val="00DF3236"/>
    <w:pPr>
      <w:suppressLineNumbers/>
    </w:pPr>
  </w:style>
  <w:style w:type="paragraph" w:customStyle="1" w:styleId="TableHeading">
    <w:name w:val="Table Heading"/>
    <w:basedOn w:val="TableContents"/>
    <w:rsid w:val="00DF3236"/>
    <w:pPr>
      <w:jc w:val="center"/>
    </w:pPr>
    <w:rPr>
      <w:b/>
      <w:bCs/>
      <w:i/>
      <w:iCs/>
    </w:rPr>
  </w:style>
  <w:style w:type="paragraph" w:customStyle="1" w:styleId="a4">
    <w:name w:val="Садржај табеле"/>
    <w:basedOn w:val="Normal"/>
    <w:rsid w:val="00DF3236"/>
    <w:pPr>
      <w:suppressLineNumbers/>
    </w:pPr>
  </w:style>
  <w:style w:type="paragraph" w:customStyle="1" w:styleId="a5">
    <w:name w:val="Заглавље табеле"/>
    <w:basedOn w:val="a4"/>
    <w:rsid w:val="00DF3236"/>
    <w:pPr>
      <w:jc w:val="center"/>
    </w:pPr>
    <w:rPr>
      <w:b/>
      <w:bCs/>
    </w:rPr>
  </w:style>
  <w:style w:type="table" w:styleId="TableGrid">
    <w:name w:val="Table Grid"/>
    <w:basedOn w:val="TableNormal"/>
    <w:uiPriority w:val="59"/>
    <w:rsid w:val="00CF4A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11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5FE15-ABD6-41A6-B199-E54138C9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8113</TotalTime>
  <Pages>8</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gospas</dc:creator>
  <cp:lastModifiedBy>DanicaT</cp:lastModifiedBy>
  <cp:revision>42</cp:revision>
  <cp:lastPrinted>2011-08-15T12:51:00Z</cp:lastPrinted>
  <dcterms:created xsi:type="dcterms:W3CDTF">2014-08-18T09:43:00Z</dcterms:created>
  <dcterms:modified xsi:type="dcterms:W3CDTF">2022-08-11T09:56:00Z</dcterms:modified>
</cp:coreProperties>
</file>